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1828" w14:textId="77777777" w:rsidR="00646FF5" w:rsidRDefault="00000000">
      <w:pPr>
        <w:ind w:right="619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论文题名</w:t>
      </w:r>
    </w:p>
    <w:p w14:paraId="5FC49A09" w14:textId="77777777" w:rsidR="00646FF5" w:rsidRDefault="00000000">
      <w:pPr>
        <w:ind w:right="619"/>
        <w:jc w:val="center"/>
        <w:rPr>
          <w:rFonts w:ascii="Arial Unicode MS" w:eastAsia="Arial Unicode MS"/>
          <w:sz w:val="34"/>
        </w:rPr>
      </w:pPr>
      <w:r>
        <w:rPr>
          <w:rFonts w:ascii="宋体" w:hAnsi="宋体" w:hint="eastAsia"/>
          <w:sz w:val="18"/>
          <w:szCs w:val="18"/>
        </w:rPr>
        <w:t>（一般不超过20个汉字，应简明、具体、确切，概括文章的要旨，符合编制题录、索引和检索有关原则。居中。）</w:t>
      </w:r>
    </w:p>
    <w:p w14:paraId="14562D81" w14:textId="77777777" w:rsidR="00646FF5" w:rsidRDefault="00646FF5">
      <w:pPr>
        <w:spacing w:line="264" w:lineRule="auto"/>
        <w:rPr>
          <w:rFonts w:ascii="黑体" w:eastAsia="黑体" w:hAnsi="宋体"/>
          <w:sz w:val="18"/>
          <w:szCs w:val="18"/>
        </w:rPr>
      </w:pPr>
    </w:p>
    <w:p w14:paraId="491C665C" w14:textId="77777777" w:rsidR="00646FF5" w:rsidRDefault="00000000">
      <w:pPr>
        <w:spacing w:line="264" w:lineRule="auto"/>
        <w:jc w:val="center"/>
        <w:rPr>
          <w:rFonts w:ascii="宋体" w:hAnsi="宋体"/>
          <w:szCs w:val="21"/>
        </w:rPr>
      </w:pPr>
      <w:r>
        <w:rPr>
          <w:rFonts w:ascii="仿宋_GB2312" w:eastAsia="仿宋_GB2312" w:hAnsi="宋体" w:hint="eastAsia"/>
          <w:sz w:val="28"/>
          <w:szCs w:val="28"/>
        </w:rPr>
        <w:t>第一作者</w:t>
      </w:r>
      <w:r>
        <w:rPr>
          <w:rFonts w:ascii="仿宋_GB2312" w:eastAsia="仿宋_GB2312" w:hAnsi="宋体" w:hint="eastAsia"/>
          <w:sz w:val="28"/>
          <w:szCs w:val="28"/>
          <w:vertAlign w:val="superscript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责任作者</w:t>
      </w:r>
      <w:r>
        <w:rPr>
          <w:rFonts w:ascii="仿宋_GB2312" w:eastAsia="仿宋_GB2312" w:hAnsi="宋体" w:hint="eastAsia"/>
          <w:sz w:val="28"/>
          <w:szCs w:val="28"/>
          <w:vertAlign w:val="superscript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其他作者</w:t>
      </w:r>
      <w:r>
        <w:rPr>
          <w:rFonts w:ascii="仿宋_GB2312" w:eastAsia="仿宋_GB2312" w:hAnsi="宋体" w:hint="eastAsia"/>
          <w:sz w:val="28"/>
          <w:szCs w:val="28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（作者顺序按贡献排，居中）</w:t>
      </w:r>
    </w:p>
    <w:p w14:paraId="618FAF9C" w14:textId="77777777" w:rsidR="00646FF5" w:rsidRDefault="00000000">
      <w:pPr>
        <w:spacing w:line="264" w:lineRule="auto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（1.作者单位，单位所在省 城市 邮编； 2.</w:t>
      </w:r>
      <w:r>
        <w:rPr>
          <w:rFonts w:ascii="宋体" w:hAnsi="宋体" w:hint="eastAsia"/>
          <w:bCs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作者单位，单位所在省 城市 邮编</w:t>
      </w:r>
      <w:r>
        <w:rPr>
          <w:rFonts w:ascii="宋体" w:hAnsi="宋体" w:hint="eastAsia"/>
          <w:bCs/>
          <w:sz w:val="18"/>
          <w:szCs w:val="18"/>
        </w:rPr>
        <w:t>）</w:t>
      </w:r>
      <w:r>
        <w:rPr>
          <w:rFonts w:ascii="宋体" w:hAnsi="宋体" w:hint="eastAsia"/>
          <w:sz w:val="18"/>
          <w:szCs w:val="18"/>
        </w:rPr>
        <w:t>（居中）</w:t>
      </w:r>
    </w:p>
    <w:p w14:paraId="6050EBDB" w14:textId="77777777" w:rsidR="00646FF5" w:rsidRDefault="00646FF5">
      <w:pPr>
        <w:spacing w:line="264" w:lineRule="auto"/>
        <w:rPr>
          <w:rFonts w:ascii="宋体" w:hAnsi="宋体"/>
          <w:sz w:val="18"/>
          <w:szCs w:val="18"/>
        </w:rPr>
      </w:pPr>
    </w:p>
    <w:p w14:paraId="1B7517E3" w14:textId="77777777" w:rsidR="00646FF5" w:rsidRDefault="00000000">
      <w:pPr>
        <w:ind w:left="74" w:right="74"/>
        <w:rPr>
          <w:rFonts w:hAnsi="宋体"/>
          <w:sz w:val="18"/>
          <w:szCs w:val="18"/>
        </w:rPr>
      </w:pPr>
      <w:r>
        <w:rPr>
          <w:rFonts w:eastAsia="黑体"/>
          <w:sz w:val="18"/>
          <w:szCs w:val="18"/>
        </w:rPr>
        <w:t>摘要：</w:t>
      </w:r>
      <w:r>
        <w:rPr>
          <w:rFonts w:ascii="宋体" w:hAnsi="宋体" w:hint="eastAsia"/>
          <w:w w:val="90"/>
          <w:sz w:val="18"/>
          <w:szCs w:val="18"/>
        </w:rPr>
        <w:t>【</w:t>
      </w:r>
      <w:r>
        <w:rPr>
          <w:rFonts w:ascii="黑体" w:eastAsia="黑体" w:hAnsi="黑体" w:cs="黑体" w:hint="eastAsia"/>
          <w:w w:val="90"/>
          <w:sz w:val="18"/>
          <w:szCs w:val="18"/>
        </w:rPr>
        <w:t>目的</w:t>
      </w:r>
      <w:r>
        <w:rPr>
          <w:rFonts w:ascii="宋体" w:hAnsi="宋体" w:hint="eastAsia"/>
          <w:w w:val="90"/>
          <w:sz w:val="18"/>
          <w:szCs w:val="18"/>
        </w:rPr>
        <w:t>】……</w:t>
      </w:r>
      <w:r>
        <w:rPr>
          <w:rFonts w:ascii="黑体" w:eastAsia="黑体" w:hAnsi="黑体" w:hint="eastAsia"/>
          <w:sz w:val="18"/>
          <w:szCs w:val="18"/>
        </w:rPr>
        <w:t>。</w:t>
      </w:r>
      <w:r>
        <w:rPr>
          <w:rFonts w:ascii="宋体" w:hAnsi="宋体" w:hint="eastAsia"/>
          <w:w w:val="90"/>
          <w:sz w:val="18"/>
          <w:szCs w:val="18"/>
        </w:rPr>
        <w:t>【</w:t>
      </w:r>
      <w:r>
        <w:rPr>
          <w:rFonts w:ascii="黑体" w:eastAsia="黑体" w:hAnsi="黑体" w:hint="eastAsia"/>
          <w:w w:val="95"/>
          <w:sz w:val="18"/>
          <w:szCs w:val="18"/>
        </w:rPr>
        <w:t>方法</w:t>
      </w:r>
      <w:r>
        <w:rPr>
          <w:rFonts w:ascii="宋体" w:hAnsi="宋体" w:hint="eastAsia"/>
          <w:w w:val="90"/>
          <w:sz w:val="18"/>
          <w:szCs w:val="18"/>
        </w:rPr>
        <w:t>】</w:t>
      </w:r>
      <w:r>
        <w:rPr>
          <w:rFonts w:ascii="黑体" w:eastAsia="黑体" w:hAnsi="黑体" w:hint="eastAsia"/>
          <w:sz w:val="18"/>
          <w:szCs w:val="18"/>
        </w:rPr>
        <w:t>……。</w:t>
      </w:r>
      <w:r>
        <w:rPr>
          <w:rFonts w:ascii="宋体" w:hAnsi="宋体" w:hint="eastAsia"/>
          <w:w w:val="90"/>
          <w:sz w:val="18"/>
          <w:szCs w:val="18"/>
        </w:rPr>
        <w:t>【</w:t>
      </w:r>
      <w:r>
        <w:rPr>
          <w:rFonts w:ascii="黑体" w:eastAsia="黑体" w:hAnsi="黑体" w:hint="eastAsia"/>
          <w:w w:val="95"/>
          <w:sz w:val="18"/>
          <w:szCs w:val="18"/>
        </w:rPr>
        <w:t>结果</w:t>
      </w:r>
      <w:r>
        <w:rPr>
          <w:rFonts w:ascii="宋体" w:hAnsi="宋体" w:hint="eastAsia"/>
          <w:w w:val="90"/>
          <w:sz w:val="18"/>
          <w:szCs w:val="18"/>
        </w:rPr>
        <w:t>】（1）</w:t>
      </w:r>
      <w:r>
        <w:rPr>
          <w:rFonts w:ascii="黑体" w:eastAsia="黑体" w:hAnsi="黑体" w:hint="eastAsia"/>
          <w:sz w:val="18"/>
          <w:szCs w:val="18"/>
        </w:rPr>
        <w:t>……；</w:t>
      </w:r>
      <w:r>
        <w:rPr>
          <w:rFonts w:ascii="宋体" w:hAnsi="宋体" w:hint="eastAsia"/>
          <w:sz w:val="18"/>
          <w:szCs w:val="18"/>
        </w:rPr>
        <w:t>（2）</w:t>
      </w:r>
      <w:r>
        <w:rPr>
          <w:rFonts w:ascii="黑体" w:eastAsia="黑体" w:hAnsi="黑体" w:hint="eastAsia"/>
          <w:sz w:val="18"/>
          <w:szCs w:val="18"/>
        </w:rPr>
        <w:t>……；</w:t>
      </w:r>
      <w:r>
        <w:rPr>
          <w:rFonts w:ascii="宋体" w:hAnsi="宋体" w:hint="eastAsia"/>
          <w:sz w:val="18"/>
          <w:szCs w:val="18"/>
        </w:rPr>
        <w:t>（3）</w:t>
      </w:r>
      <w:r>
        <w:rPr>
          <w:rFonts w:ascii="黑体" w:eastAsia="黑体" w:hAnsi="黑体" w:hint="eastAsia"/>
          <w:sz w:val="18"/>
          <w:szCs w:val="18"/>
        </w:rPr>
        <w:t>……。</w:t>
      </w:r>
      <w:r>
        <w:rPr>
          <w:rFonts w:ascii="宋体" w:hint="eastAsia"/>
          <w:w w:val="80"/>
          <w:sz w:val="17"/>
        </w:rPr>
        <w:t>【</w:t>
      </w:r>
      <w:r>
        <w:rPr>
          <w:rFonts w:ascii="黑体" w:eastAsia="黑体" w:hint="eastAsia"/>
          <w:sz w:val="18"/>
          <w:szCs w:val="18"/>
        </w:rPr>
        <w:t>结论</w:t>
      </w:r>
      <w:r>
        <w:rPr>
          <w:rFonts w:ascii="宋体" w:hint="eastAsia"/>
          <w:w w:val="80"/>
          <w:sz w:val="17"/>
        </w:rPr>
        <w:t>】</w:t>
      </w:r>
      <w:r>
        <w:rPr>
          <w:rFonts w:ascii="黑体" w:eastAsia="黑体" w:hAnsi="黑体" w:hint="eastAsia"/>
          <w:sz w:val="18"/>
          <w:szCs w:val="18"/>
        </w:rPr>
        <w:t>……</w:t>
      </w:r>
      <w:r>
        <w:rPr>
          <w:rFonts w:hAnsi="宋体" w:hint="eastAsia"/>
          <w:sz w:val="18"/>
          <w:szCs w:val="18"/>
        </w:rPr>
        <w:t>。</w:t>
      </w:r>
    </w:p>
    <w:p w14:paraId="76222572" w14:textId="77777777" w:rsidR="00646FF5" w:rsidRDefault="00646FF5">
      <w:pPr>
        <w:ind w:left="74" w:right="74"/>
        <w:rPr>
          <w:szCs w:val="21"/>
        </w:rPr>
      </w:pPr>
    </w:p>
    <w:p w14:paraId="17037948" w14:textId="77777777" w:rsidR="00646FF5" w:rsidRDefault="00000000">
      <w:pPr>
        <w:spacing w:line="288" w:lineRule="auto"/>
        <w:ind w:left="74" w:right="74" w:firstLineChars="200" w:firstLine="360"/>
        <w:rPr>
          <w:rFonts w:ascii="宋体" w:hAnsi="宋体"/>
          <w:sz w:val="17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摘要</w:t>
      </w:r>
      <w:r>
        <w:rPr>
          <w:rFonts w:ascii="宋体" w:hAnsi="宋体" w:hint="eastAsia"/>
          <w:sz w:val="18"/>
          <w:szCs w:val="18"/>
        </w:rPr>
        <w:t>分为四部分：</w:t>
      </w:r>
      <w:r>
        <w:rPr>
          <w:rFonts w:ascii="宋体" w:hAnsi="宋体"/>
          <w:sz w:val="18"/>
          <w:szCs w:val="18"/>
        </w:rPr>
        <w:t>目的、方法、结果和结论</w:t>
      </w:r>
      <w:r>
        <w:rPr>
          <w:rFonts w:ascii="宋体" w:hAnsi="宋体" w:hint="eastAsia"/>
          <w:sz w:val="18"/>
          <w:szCs w:val="18"/>
        </w:rPr>
        <w:t>。目的一般一句话概括，注意目的不是意义；方法可参考以下格式：利用……</w:t>
      </w:r>
      <w:proofErr w:type="gramStart"/>
      <w:r>
        <w:rPr>
          <w:rFonts w:ascii="宋体" w:hAnsi="宋体" w:hint="eastAsia"/>
          <w:sz w:val="18"/>
          <w:szCs w:val="18"/>
        </w:rPr>
        <w:t>和</w:t>
      </w:r>
      <w:proofErr w:type="gramEnd"/>
      <w:r>
        <w:rPr>
          <w:rFonts w:ascii="宋体" w:hAnsi="宋体" w:hint="eastAsia"/>
          <w:sz w:val="18"/>
          <w:szCs w:val="18"/>
        </w:rPr>
        <w:t>……方法，对……进行研究；结果尽量分条概括主要结果，非综述类要有数据支撑；结论提炼概括结果，或者启示性的意义。摘要</w:t>
      </w:r>
      <w:r>
        <w:rPr>
          <w:rFonts w:ascii="宋体" w:hAnsi="宋体"/>
          <w:sz w:val="18"/>
          <w:szCs w:val="18"/>
        </w:rPr>
        <w:t>具有独立性和自明性，</w:t>
      </w:r>
      <w:r>
        <w:rPr>
          <w:rFonts w:ascii="宋体" w:hAnsi="宋体" w:hint="eastAsia"/>
          <w:sz w:val="18"/>
          <w:szCs w:val="18"/>
        </w:rPr>
        <w:t>一般</w:t>
      </w:r>
      <w:r>
        <w:rPr>
          <w:rFonts w:ascii="宋体" w:hAnsi="宋体"/>
          <w:sz w:val="18"/>
          <w:szCs w:val="18"/>
        </w:rPr>
        <w:t>不出现图、表、数学公式、化学结构式和非公知公用的符号、术语和缩略语。</w:t>
      </w:r>
      <w:r>
        <w:rPr>
          <w:rFonts w:ascii="宋体" w:hAnsi="宋体" w:hint="eastAsia"/>
          <w:sz w:val="18"/>
          <w:szCs w:val="18"/>
        </w:rPr>
        <w:t>）</w:t>
      </w:r>
    </w:p>
    <w:p w14:paraId="7B508429" w14:textId="77777777" w:rsidR="00646FF5" w:rsidRDefault="00000000">
      <w:pPr>
        <w:spacing w:line="264" w:lineRule="auto"/>
        <w:ind w:left="74" w:right="74"/>
        <w:rPr>
          <w:sz w:val="18"/>
          <w:szCs w:val="18"/>
        </w:rPr>
      </w:pPr>
      <w:r>
        <w:rPr>
          <w:rFonts w:eastAsia="黑体"/>
          <w:sz w:val="18"/>
          <w:szCs w:val="18"/>
        </w:rPr>
        <w:t>关键词：</w:t>
      </w:r>
      <w:r>
        <w:rPr>
          <w:rFonts w:hAnsi="宋体"/>
          <w:sz w:val="18"/>
          <w:szCs w:val="18"/>
        </w:rPr>
        <w:t>一般选</w:t>
      </w:r>
      <w:r>
        <w:rPr>
          <w:sz w:val="18"/>
          <w:szCs w:val="18"/>
        </w:rPr>
        <w:t>3</w:t>
      </w:r>
      <w:r>
        <w:rPr>
          <w:sz w:val="18"/>
          <w:szCs w:val="18"/>
        </w:rPr>
        <w:t>～</w:t>
      </w:r>
      <w:r>
        <w:rPr>
          <w:sz w:val="18"/>
          <w:szCs w:val="18"/>
        </w:rPr>
        <w:t>8</w:t>
      </w:r>
      <w:r>
        <w:rPr>
          <w:rFonts w:hAnsi="宋体"/>
          <w:sz w:val="18"/>
          <w:szCs w:val="18"/>
        </w:rPr>
        <w:t>个关键词。</w:t>
      </w:r>
      <w:r>
        <w:rPr>
          <w:rFonts w:eastAsia="楷体_GB2312"/>
          <w:sz w:val="18"/>
          <w:szCs w:val="18"/>
        </w:rPr>
        <w:t>（</w:t>
      </w:r>
      <w:r>
        <w:rPr>
          <w:rFonts w:hAnsi="宋体"/>
          <w:sz w:val="18"/>
          <w:szCs w:val="18"/>
        </w:rPr>
        <w:t>词间用</w:t>
      </w:r>
      <w:r>
        <w:rPr>
          <w:rFonts w:ascii="宋体" w:hAnsi="宋体" w:cs="宋体" w:hint="eastAsia"/>
          <w:sz w:val="18"/>
          <w:szCs w:val="18"/>
        </w:rPr>
        <w:t>分号“；”分</w:t>
      </w:r>
      <w:r>
        <w:rPr>
          <w:rFonts w:hAnsi="宋体"/>
          <w:sz w:val="18"/>
          <w:szCs w:val="18"/>
        </w:rPr>
        <w:t>隔。</w:t>
      </w:r>
      <w:r>
        <w:rPr>
          <w:rFonts w:eastAsia="楷体_GB2312"/>
          <w:sz w:val="18"/>
          <w:szCs w:val="18"/>
        </w:rPr>
        <w:t>）</w:t>
      </w:r>
      <w:r>
        <w:rPr>
          <w:rFonts w:hint="eastAsia"/>
          <w:sz w:val="18"/>
          <w:szCs w:val="18"/>
        </w:rPr>
        <w:t>（关键词不要用虚词）</w:t>
      </w:r>
    </w:p>
    <w:p w14:paraId="5AEB2443" w14:textId="77777777" w:rsidR="00646FF5" w:rsidRDefault="00000000">
      <w:pPr>
        <w:spacing w:line="264" w:lineRule="auto"/>
        <w:ind w:left="74" w:right="74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中图分类号：</w:t>
      </w:r>
      <w:r>
        <w:rPr>
          <w:rFonts w:eastAsia="黑体" w:hint="eastAsia"/>
          <w:sz w:val="18"/>
          <w:szCs w:val="18"/>
        </w:rPr>
        <w:t>（</w:t>
      </w:r>
      <w:r>
        <w:rPr>
          <w:rFonts w:hAnsi="宋体" w:hint="eastAsia"/>
          <w:sz w:val="18"/>
          <w:szCs w:val="18"/>
        </w:rPr>
        <w:t>参考本刊相关论文或者中图分类网站搜索</w:t>
      </w:r>
      <w:r>
        <w:rPr>
          <w:rFonts w:eastAsia="黑体" w:hint="eastAsia"/>
          <w:sz w:val="18"/>
          <w:szCs w:val="18"/>
        </w:rPr>
        <w:t>）</w:t>
      </w:r>
      <w:r>
        <w:rPr>
          <w:rFonts w:eastAsia="黑体" w:hint="eastAsia"/>
          <w:sz w:val="18"/>
          <w:szCs w:val="18"/>
        </w:rPr>
        <w:t xml:space="preserve"> </w:t>
      </w:r>
      <w:r>
        <w:rPr>
          <w:rFonts w:eastAsia="黑体"/>
          <w:sz w:val="18"/>
          <w:szCs w:val="18"/>
        </w:rPr>
        <w:t xml:space="preserve"> </w:t>
      </w:r>
    </w:p>
    <w:p w14:paraId="09DAF27D" w14:textId="77777777" w:rsidR="00646FF5" w:rsidRDefault="00646FF5">
      <w:pPr>
        <w:spacing w:line="264" w:lineRule="auto"/>
        <w:ind w:left="74" w:right="74"/>
        <w:rPr>
          <w:rFonts w:eastAsia="黑体"/>
          <w:sz w:val="18"/>
          <w:szCs w:val="18"/>
        </w:rPr>
      </w:pPr>
    </w:p>
    <w:p w14:paraId="2F955836" w14:textId="77777777" w:rsidR="00646FF5" w:rsidRDefault="00000000">
      <w:pPr>
        <w:ind w:right="619"/>
        <w:jc w:val="center"/>
        <w:rPr>
          <w:b/>
          <w:sz w:val="24"/>
        </w:rPr>
      </w:pPr>
      <w:r>
        <w:rPr>
          <w:rFonts w:eastAsia="黑体" w:hint="eastAsia"/>
          <w:sz w:val="36"/>
          <w:szCs w:val="36"/>
        </w:rPr>
        <w:t>E</w:t>
      </w:r>
      <w:r>
        <w:rPr>
          <w:rFonts w:eastAsia="黑体"/>
          <w:sz w:val="36"/>
          <w:szCs w:val="36"/>
        </w:rPr>
        <w:t>nglish title</w:t>
      </w:r>
    </w:p>
    <w:p w14:paraId="0F65EF4E" w14:textId="77777777" w:rsidR="00646FF5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 w:hint="eastAsia"/>
          <w:szCs w:val="21"/>
        </w:rPr>
        <w:t>除第一个词和专有名词外，其余词的第－</w:t>
      </w:r>
      <w:proofErr w:type="gramStart"/>
      <w:r>
        <w:rPr>
          <w:rFonts w:ascii="宋体" w:hAnsi="宋体" w:hint="eastAsia"/>
          <w:szCs w:val="21"/>
        </w:rPr>
        <w:t>个</w:t>
      </w:r>
      <w:proofErr w:type="gramEnd"/>
      <w:r>
        <w:rPr>
          <w:rFonts w:ascii="宋体" w:hAnsi="宋体" w:hint="eastAsia"/>
          <w:szCs w:val="21"/>
        </w:rPr>
        <w:t>字母小写。</w:t>
      </w:r>
      <w:r>
        <w:rPr>
          <w:rFonts w:hint="eastAsia"/>
          <w:b/>
          <w:sz w:val="24"/>
        </w:rPr>
        <w:t>）</w:t>
      </w:r>
    </w:p>
    <w:p w14:paraId="549A3516" w14:textId="77777777" w:rsidR="00646FF5" w:rsidRDefault="00000000">
      <w:pPr>
        <w:spacing w:line="264" w:lineRule="auto"/>
        <w:jc w:val="center"/>
        <w:rPr>
          <w:rFonts w:ascii="仿宋_GB2312" w:eastAsia="仿宋_GB2312" w:hAnsi="宋体"/>
          <w:sz w:val="28"/>
          <w:szCs w:val="28"/>
          <w:vertAlign w:val="superscript"/>
        </w:rPr>
      </w:pPr>
      <w:r>
        <w:rPr>
          <w:w w:val="105"/>
          <w:sz w:val="28"/>
          <w:szCs w:val="28"/>
        </w:rPr>
        <w:t>The f</w:t>
      </w:r>
      <w:r>
        <w:rPr>
          <w:rFonts w:hint="eastAsia"/>
          <w:w w:val="105"/>
          <w:sz w:val="28"/>
          <w:szCs w:val="28"/>
        </w:rPr>
        <w:t>irst</w:t>
      </w:r>
      <w:r>
        <w:rPr>
          <w:w w:val="105"/>
          <w:sz w:val="28"/>
          <w:szCs w:val="28"/>
        </w:rPr>
        <w:t xml:space="preserve"> </w:t>
      </w:r>
      <w:r>
        <w:rPr>
          <w:rFonts w:hint="eastAsia"/>
          <w:w w:val="105"/>
          <w:sz w:val="28"/>
          <w:szCs w:val="28"/>
        </w:rPr>
        <w:t>author</w:t>
      </w:r>
      <w:r>
        <w:rPr>
          <w:rFonts w:ascii="仿宋_GB2312" w:eastAsia="仿宋_GB2312" w:hAnsi="宋体" w:hint="eastAsia"/>
          <w:sz w:val="28"/>
          <w:szCs w:val="28"/>
          <w:vertAlign w:val="superscript"/>
        </w:rPr>
        <w:t xml:space="preserve"> 1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Corresponding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author</w:t>
      </w:r>
      <w:r>
        <w:rPr>
          <w:rFonts w:ascii="仿宋_GB2312" w:eastAsia="仿宋_GB2312" w:hAnsi="宋体" w:hint="eastAsia"/>
          <w:sz w:val="28"/>
          <w:szCs w:val="28"/>
          <w:vertAlign w:val="superscript"/>
        </w:rPr>
        <w:t xml:space="preserve"> 1</w:t>
      </w:r>
      <w:r>
        <w:rPr>
          <w:sz w:val="28"/>
          <w:szCs w:val="28"/>
        </w:rPr>
        <w:t xml:space="preserve"> The o</w:t>
      </w:r>
      <w:r>
        <w:rPr>
          <w:rFonts w:hint="eastAsia"/>
          <w:sz w:val="28"/>
          <w:szCs w:val="28"/>
        </w:rPr>
        <w:t>th</w:t>
      </w:r>
      <w:r>
        <w:rPr>
          <w:sz w:val="28"/>
          <w:szCs w:val="28"/>
        </w:rPr>
        <w:t xml:space="preserve">er </w:t>
      </w:r>
      <w:r>
        <w:rPr>
          <w:rFonts w:hint="eastAsia"/>
          <w:sz w:val="28"/>
          <w:szCs w:val="28"/>
        </w:rPr>
        <w:t>author</w:t>
      </w:r>
      <w:r>
        <w:rPr>
          <w:rFonts w:ascii="仿宋_GB2312" w:eastAsia="仿宋_GB2312" w:hAnsi="宋体" w:hint="eastAsia"/>
          <w:sz w:val="28"/>
          <w:szCs w:val="28"/>
          <w:vertAlign w:val="superscript"/>
        </w:rPr>
        <w:t xml:space="preserve"> 2</w:t>
      </w:r>
    </w:p>
    <w:p w14:paraId="3AF37E36" w14:textId="77777777" w:rsidR="00646FF5" w:rsidRDefault="00000000">
      <w:pPr>
        <w:spacing w:line="264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作者</w:t>
      </w:r>
      <w:r>
        <w:rPr>
          <w:rFonts w:ascii="宋体" w:hAnsi="宋体" w:hint="eastAsia"/>
          <w:sz w:val="18"/>
          <w:szCs w:val="18"/>
        </w:rPr>
        <w:t>与中文对应，</w:t>
      </w:r>
      <w:proofErr w:type="gramStart"/>
      <w:r>
        <w:rPr>
          <w:rFonts w:hint="eastAsia"/>
          <w:sz w:val="18"/>
          <w:szCs w:val="18"/>
        </w:rPr>
        <w:t>姓首字母</w:t>
      </w:r>
      <w:proofErr w:type="gramEnd"/>
      <w:r>
        <w:rPr>
          <w:rFonts w:hint="eastAsia"/>
          <w:sz w:val="18"/>
          <w:szCs w:val="18"/>
        </w:rPr>
        <w:t>大写。</w:t>
      </w:r>
      <w:r>
        <w:rPr>
          <w:rFonts w:ascii="宋体" w:hAnsi="宋体" w:hint="eastAsia"/>
          <w:sz w:val="18"/>
          <w:szCs w:val="18"/>
        </w:rPr>
        <w:t>）</w:t>
      </w:r>
    </w:p>
    <w:p w14:paraId="2A3DA2B4" w14:textId="77777777" w:rsidR="00646FF5" w:rsidRDefault="00000000">
      <w:pPr>
        <w:pStyle w:val="BodyText"/>
        <w:numPr>
          <w:ilvl w:val="0"/>
          <w:numId w:val="3"/>
        </w:numPr>
        <w:tabs>
          <w:tab w:val="left" w:pos="1058"/>
          <w:tab w:val="left" w:pos="2253"/>
        </w:tabs>
        <w:spacing w:before="198"/>
        <w:ind w:right="318"/>
        <w:jc w:val="center"/>
        <w:rPr>
          <w:bCs/>
          <w:sz w:val="18"/>
          <w:szCs w:val="18"/>
        </w:rPr>
      </w:pPr>
      <w:r>
        <w:rPr>
          <w:sz w:val="18"/>
          <w:szCs w:val="18"/>
        </w:rPr>
        <w:t>School of Soil and Water Conservation, Beijing Forestry University, Beijing 100083, China;                      2.College of Materials Science and Engineering, Nanjing Forestry University, Nanjing 210037, Jiangsu, China</w:t>
      </w:r>
      <w:r>
        <w:rPr>
          <w:bCs/>
          <w:sz w:val="18"/>
          <w:szCs w:val="18"/>
        </w:rPr>
        <w:t>）</w:t>
      </w:r>
    </w:p>
    <w:p w14:paraId="19979900" w14:textId="77777777" w:rsidR="00646FF5" w:rsidRDefault="00000000">
      <w:pPr>
        <w:pStyle w:val="Normal1"/>
      </w:pPr>
      <w:r>
        <w:rPr>
          <w:rFonts w:ascii="Times New Roman" w:hAnsi="Times New Roman" w:cs="Times New Roman"/>
          <w:b/>
          <w:sz w:val="18"/>
          <w:szCs w:val="18"/>
        </w:rPr>
        <w:t xml:space="preserve">Abstract: 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b/>
          <w:sz w:val="18"/>
          <w:szCs w:val="18"/>
        </w:rPr>
        <w:t>Objective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pacing w:val="-7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... [</w:t>
      </w:r>
      <w:r>
        <w:rPr>
          <w:rFonts w:ascii="Times New Roman" w:hAnsi="Times New Roman" w:cs="Times New Roman"/>
          <w:b/>
          <w:sz w:val="18"/>
          <w:szCs w:val="18"/>
        </w:rPr>
        <w:t>Method</w:t>
      </w:r>
      <w:r>
        <w:rPr>
          <w:rFonts w:ascii="Times New Roman" w:hAnsi="Times New Roman" w:cs="Times New Roman"/>
          <w:sz w:val="18"/>
          <w:szCs w:val="18"/>
        </w:rPr>
        <w:t>] ... [</w:t>
      </w:r>
      <w:r>
        <w:rPr>
          <w:rFonts w:ascii="Times New Roman" w:hAnsi="Times New Roman" w:cs="Times New Roman"/>
          <w:b/>
          <w:sz w:val="18"/>
          <w:szCs w:val="18"/>
        </w:rPr>
        <w:t>Result</w:t>
      </w:r>
      <w:r>
        <w:rPr>
          <w:rFonts w:ascii="Times New Roman" w:hAnsi="Times New Roman" w:cs="Times New Roman"/>
          <w:sz w:val="18"/>
          <w:szCs w:val="18"/>
        </w:rPr>
        <w:t>] (</w:t>
      </w:r>
      <w:proofErr w:type="gramStart"/>
      <w:r>
        <w:rPr>
          <w:rFonts w:ascii="Times New Roman" w:hAnsi="Times New Roman" w:cs="Times New Roman"/>
          <w:sz w:val="18"/>
          <w:szCs w:val="18"/>
        </w:rPr>
        <w:t>1)...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; (2)...; (3).... </w:t>
      </w:r>
      <w:r>
        <w:rPr>
          <w:rFonts w:ascii="Times New Roman" w:hAnsi="Times New Roman" w:cs="Times New Roman"/>
          <w:b/>
          <w:sz w:val="18"/>
          <w:szCs w:val="18"/>
        </w:rPr>
        <w:t>[Conclusion]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... </w:t>
      </w:r>
    </w:p>
    <w:p w14:paraId="67D56505" w14:textId="77777777" w:rsidR="00646FF5" w:rsidRDefault="00000000">
      <w:pPr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Keywords</w:t>
      </w:r>
      <w:r>
        <w:rPr>
          <w:color w:val="000000"/>
          <w:sz w:val="18"/>
          <w:szCs w:val="18"/>
        </w:rPr>
        <w:t>: keyword 1; keyword 2; keyword 3; keyword 4</w:t>
      </w:r>
      <w:r>
        <w:rPr>
          <w:sz w:val="18"/>
          <w:szCs w:val="18"/>
        </w:rPr>
        <w:t>...</w:t>
      </w:r>
    </w:p>
    <w:p w14:paraId="009170B9" w14:textId="77777777" w:rsidR="00646FF5" w:rsidRDefault="00000000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本刊引言没有一级标题，直接开始正文</w:t>
      </w:r>
    </w:p>
    <w:p w14:paraId="669E1F01" w14:textId="77777777" w:rsidR="00646FF5" w:rsidRDefault="00000000">
      <w:pPr>
        <w:spacing w:line="264" w:lineRule="auto"/>
        <w:ind w:firstLineChars="200" w:firstLine="400"/>
        <w:rPr>
          <w:rFonts w:hAnsi="宋体" w:cs="Arial"/>
          <w:szCs w:val="20"/>
        </w:rPr>
      </w:pPr>
      <w:r>
        <w:rPr>
          <w:rStyle w:val="FootnoteReference"/>
          <w:sz w:val="20"/>
          <w:szCs w:val="20"/>
        </w:rPr>
        <w:footnoteReference w:customMarkFollows="1" w:id="1"/>
        <w:sym w:font="Symbol" w:char="F020"/>
      </w:r>
      <w:r>
        <w:rPr>
          <w:rFonts w:hint="eastAsia"/>
          <w:sz w:val="20"/>
          <w:szCs w:val="20"/>
        </w:rPr>
        <w:t>引言应言简意赅，不要详述同行熟知的，包括教科书上陈述的基本理论、试验方法和基本方程的推导；</w:t>
      </w:r>
      <w:r>
        <w:rPr>
          <w:rFonts w:hAnsi="宋体" w:cs="Arial" w:hint="eastAsia"/>
          <w:sz w:val="20"/>
          <w:szCs w:val="20"/>
        </w:rPr>
        <w:t>背景文献引用，应尽量引用最新的研究进展，避免二次引用和</w:t>
      </w:r>
      <w:proofErr w:type="gramStart"/>
      <w:r>
        <w:rPr>
          <w:rFonts w:hAnsi="宋体" w:cs="Arial" w:hint="eastAsia"/>
          <w:sz w:val="20"/>
          <w:szCs w:val="20"/>
        </w:rPr>
        <w:t>参考较</w:t>
      </w:r>
      <w:proofErr w:type="gramEnd"/>
      <w:r>
        <w:rPr>
          <w:rFonts w:hAnsi="宋体" w:cs="Arial" w:hint="eastAsia"/>
          <w:sz w:val="20"/>
          <w:szCs w:val="20"/>
        </w:rPr>
        <w:t>陈旧的文献。</w:t>
      </w:r>
    </w:p>
    <w:p w14:paraId="5B18533D" w14:textId="77777777" w:rsidR="00646FF5" w:rsidRDefault="00000000">
      <w:pPr>
        <w:spacing w:before="120" w:after="120" w:line="26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 研究区概况及研究方法（</w:t>
      </w: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HYPERLINK "\\\\Dell\\文章稿件\\文章稿件\\赵\\科技论文新规范.doc" \s "1,1123,1138,0,,相邻两级标题字面上尽量不重复。"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</w:r>
      <w:r>
        <w:rPr>
          <w:rFonts w:ascii="宋体" w:hAnsi="宋体"/>
          <w:sz w:val="20"/>
          <w:szCs w:val="20"/>
        </w:rPr>
        <w:fldChar w:fldCharType="separate"/>
      </w:r>
      <w:r>
        <w:rPr>
          <w:rStyle w:val="Hyperlink"/>
          <w:rFonts w:ascii="宋体" w:hAnsi="宋体" w:hint="eastAsia"/>
          <w:color w:val="auto"/>
          <w:sz w:val="20"/>
          <w:szCs w:val="20"/>
          <w:u w:val="none"/>
        </w:rPr>
        <w:t>相邻两级标题字面上尽量不重复。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 w:hint="eastAsia"/>
          <w:sz w:val="24"/>
        </w:rPr>
        <w:t>）</w:t>
      </w:r>
    </w:p>
    <w:p w14:paraId="4F3E235A" w14:textId="77777777" w:rsidR="00646FF5" w:rsidRDefault="00000000">
      <w:pPr>
        <w:spacing w:line="264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1.1  二级标题</w:t>
      </w:r>
    </w:p>
    <w:p w14:paraId="1DDF0585" w14:textId="77777777" w:rsidR="00646FF5" w:rsidRDefault="00000000">
      <w:pPr>
        <w:spacing w:line="264" w:lineRule="auto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1.1.1  三级标题</w:t>
      </w:r>
    </w:p>
    <w:p w14:paraId="0FE38048" w14:textId="77777777" w:rsidR="00646FF5" w:rsidRDefault="00000000">
      <w:pPr>
        <w:spacing w:line="264" w:lineRule="auto"/>
        <w:rPr>
          <w:rFonts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1.1.2  三级</w:t>
      </w:r>
      <w:r>
        <w:rPr>
          <w:rFonts w:eastAsia="楷体_GB2312" w:hint="eastAsia"/>
          <w:szCs w:val="21"/>
        </w:rPr>
        <w:t>标题</w:t>
      </w:r>
    </w:p>
    <w:p w14:paraId="25BD1024" w14:textId="77777777" w:rsidR="00646FF5" w:rsidRDefault="00000000">
      <w:pPr>
        <w:spacing w:line="264" w:lineRule="auto"/>
        <w:rPr>
          <w:rFonts w:ascii="黑体" w:eastAsia="黑体"/>
          <w:sz w:val="20"/>
        </w:rPr>
      </w:pPr>
      <w:r>
        <w:rPr>
          <w:rFonts w:ascii="黑体" w:eastAsia="黑体" w:hint="eastAsia"/>
          <w:szCs w:val="21"/>
        </w:rPr>
        <w:t>1.2  二级标题</w:t>
      </w:r>
    </w:p>
    <w:p w14:paraId="61210194" w14:textId="77777777" w:rsidR="00646FF5" w:rsidRDefault="00000000">
      <w:pPr>
        <w:spacing w:line="264" w:lineRule="auto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</w:t>
      </w:r>
      <w:proofErr w:type="gramEnd"/>
    </w:p>
    <w:p w14:paraId="4A467610" w14:textId="77777777" w:rsidR="00646FF5" w:rsidRDefault="00000000">
      <w:pPr>
        <w:spacing w:line="264" w:lineRule="auto"/>
      </w:pPr>
      <w:r>
        <w:rPr>
          <w:noProof/>
        </w:rPr>
        <w:drawing>
          <wp:inline distT="0" distB="0" distL="114300" distR="114300" wp14:anchorId="1FF63B19" wp14:editId="4445EA06">
            <wp:extent cx="6113780" cy="1016635"/>
            <wp:effectExtent l="0" t="0" r="762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21DA" w14:textId="77777777" w:rsidR="00646FF5" w:rsidRDefault="00646FF5">
      <w:pPr>
        <w:spacing w:line="264" w:lineRule="auto"/>
      </w:pPr>
    </w:p>
    <w:p w14:paraId="141B5A1A" w14:textId="77777777" w:rsidR="00646FF5" w:rsidRDefault="00000000">
      <w:pPr>
        <w:spacing w:line="264" w:lineRule="auto"/>
      </w:pPr>
      <w:r>
        <w:rPr>
          <w:noProof/>
        </w:rPr>
        <w:drawing>
          <wp:inline distT="0" distB="0" distL="114300" distR="114300" wp14:anchorId="492FCE02" wp14:editId="49FEF6CC">
            <wp:extent cx="4051300" cy="110490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C49DE" w14:textId="77777777" w:rsidR="00646FF5" w:rsidRDefault="00000000">
      <w:pPr>
        <w:pStyle w:val="CommentText"/>
      </w:pPr>
      <w:r>
        <w:rPr>
          <w:rFonts w:hint="eastAsia"/>
        </w:rPr>
        <w:t>参考该公式，注意以下事项：</w:t>
      </w:r>
    </w:p>
    <w:p w14:paraId="078AD338" w14:textId="77777777" w:rsidR="00646FF5" w:rsidRDefault="00000000">
      <w:pPr>
        <w:pStyle w:val="CommentText"/>
        <w:numPr>
          <w:ilvl w:val="0"/>
          <w:numId w:val="4"/>
        </w:numPr>
      </w:pPr>
      <w:r>
        <w:rPr>
          <w:rFonts w:hint="eastAsia"/>
        </w:rPr>
        <w:t>变量用单个字母表示，变量为斜体；常量为正体。</w:t>
      </w:r>
    </w:p>
    <w:p w14:paraId="73D5D1B3" w14:textId="77777777" w:rsidR="00646FF5" w:rsidRDefault="00000000">
      <w:pPr>
        <w:numPr>
          <w:ilvl w:val="0"/>
          <w:numId w:val="4"/>
        </w:numPr>
      </w:pPr>
      <w:r>
        <w:rPr>
          <w:rFonts w:ascii="宋体" w:hAnsi="宋体" w:hint="eastAsia"/>
        </w:rPr>
        <w:t>公式的解释，如“式中：…”要顶格接排。</w:t>
      </w:r>
    </w:p>
    <w:p w14:paraId="6CDAAF5E" w14:textId="77777777" w:rsidR="00646FF5" w:rsidRDefault="00646FF5">
      <w:pPr>
        <w:spacing w:line="264" w:lineRule="auto"/>
      </w:pPr>
    </w:p>
    <w:p w14:paraId="1C86A65B" w14:textId="77777777" w:rsidR="00646FF5" w:rsidRDefault="00000000">
      <w:pPr>
        <w:spacing w:beforeLines="50" w:before="156" w:afterLines="50" w:after="156" w:line="26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 结果与分析</w:t>
      </w:r>
    </w:p>
    <w:p w14:paraId="74A8B89D" w14:textId="77777777" w:rsidR="00646FF5" w:rsidRDefault="00000000">
      <w:pPr>
        <w:spacing w:line="264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……</w:t>
      </w:r>
      <w:proofErr w:type="gramStart"/>
      <w:r>
        <w:rPr>
          <w:rFonts w:ascii="黑体" w:eastAsia="黑体" w:hint="eastAsia"/>
          <w:sz w:val="24"/>
        </w:rPr>
        <w:t>……</w:t>
      </w:r>
      <w:proofErr w:type="gramEnd"/>
    </w:p>
    <w:p w14:paraId="07BF4AC9" w14:textId="77777777" w:rsidR="00646FF5" w:rsidRDefault="00646FF5">
      <w:pPr>
        <w:spacing w:line="264" w:lineRule="auto"/>
        <w:rPr>
          <w:rFonts w:ascii="黑体" w:eastAsia="黑体"/>
          <w:sz w:val="24"/>
        </w:rPr>
      </w:pPr>
    </w:p>
    <w:p w14:paraId="50A4BC4A" w14:textId="77777777" w:rsidR="00646FF5" w:rsidRDefault="00000000">
      <w:pPr>
        <w:spacing w:line="264" w:lineRule="auto"/>
        <w:rPr>
          <w:rFonts w:ascii="宋体" w:hAnsi="宋体"/>
          <w:color w:val="0000FF"/>
          <w:szCs w:val="21"/>
        </w:rPr>
      </w:pPr>
      <w:r>
        <w:rPr>
          <w:rFonts w:ascii="黑体" w:eastAsia="黑体" w:hint="eastAsia"/>
          <w:sz w:val="24"/>
        </w:rPr>
        <w:t>图表规范：</w:t>
      </w:r>
      <w:r>
        <w:rPr>
          <w:rFonts w:ascii="宋体" w:hAnsi="宋体" w:hint="eastAsia"/>
          <w:color w:val="0000FF"/>
          <w:szCs w:val="21"/>
        </w:rPr>
        <w:t xml:space="preserve"> </w:t>
      </w:r>
    </w:p>
    <w:p w14:paraId="5AD8305B" w14:textId="77777777" w:rsidR="00646FF5" w:rsidRDefault="00000000">
      <w:pPr>
        <w:spacing w:line="264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（1）图</w:t>
      </w:r>
      <w:r>
        <w:rPr>
          <w:rFonts w:ascii="宋体" w:hAnsi="宋体" w:cs="宋体" w:hint="eastAsia"/>
          <w:szCs w:val="21"/>
          <w:lang w:eastAsia="zh-Hans"/>
        </w:rPr>
        <w:t>表一般随文排，先见文字后见</w:t>
      </w:r>
      <w:r>
        <w:rPr>
          <w:rFonts w:ascii="宋体" w:hAnsi="宋体" w:cs="宋体" w:hint="eastAsia"/>
          <w:szCs w:val="21"/>
        </w:rPr>
        <w:t>图</w:t>
      </w:r>
      <w:r>
        <w:rPr>
          <w:rFonts w:ascii="宋体" w:hAnsi="宋体" w:cs="宋体" w:hint="eastAsia"/>
          <w:szCs w:val="21"/>
          <w:lang w:eastAsia="zh-Hans"/>
        </w:rPr>
        <w:t>表</w:t>
      </w:r>
      <w:r>
        <w:rPr>
          <w:rFonts w:ascii="宋体" w:hAnsi="宋体" w:cs="宋体" w:hint="eastAsia"/>
          <w:szCs w:val="21"/>
        </w:rPr>
        <w:t>；</w:t>
      </w:r>
    </w:p>
    <w:p w14:paraId="32C40C38" w14:textId="77777777" w:rsidR="00646FF5" w:rsidRDefault="00000000">
      <w:pPr>
        <w:spacing w:line="264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（2）图表题名应简短确切，图题、表题、图注、表注、</w:t>
      </w:r>
      <w:proofErr w:type="gramStart"/>
      <w:r>
        <w:rPr>
          <w:rFonts w:ascii="宋体" w:hAnsi="宋体" w:cs="宋体" w:hint="eastAsia"/>
          <w:szCs w:val="21"/>
        </w:rPr>
        <w:t>图横纵坐标</w:t>
      </w:r>
      <w:proofErr w:type="gramEnd"/>
      <w:r>
        <w:rPr>
          <w:rFonts w:ascii="宋体" w:hAnsi="宋体" w:cs="宋体" w:hint="eastAsia"/>
          <w:szCs w:val="21"/>
        </w:rPr>
        <w:t>、图例名称及表头均应给出中英文对照；</w:t>
      </w:r>
    </w:p>
    <w:p w14:paraId="26158F2C" w14:textId="77777777" w:rsidR="00646FF5" w:rsidRDefault="00000000">
      <w:pPr>
        <w:rPr>
          <w:sz w:val="18"/>
          <w:szCs w:val="18"/>
        </w:rPr>
      </w:pPr>
      <w:r>
        <w:rPr>
          <w:rFonts w:ascii="宋体" w:hAnsi="宋体" w:cs="宋体" w:hint="eastAsia"/>
          <w:szCs w:val="21"/>
        </w:rPr>
        <w:t>（3）所有图均需提供两套，其中一套为不标任何字母、符号的空白图，以便排版植字。图、表均应具有自明性，图、图题、图注、图例表达清楚明了。如数据已绘成图，不再重复列表。表格采用国际通用的三线表。</w:t>
      </w:r>
    </w:p>
    <w:p w14:paraId="242241C2" w14:textId="77777777" w:rsidR="00646FF5" w:rsidRDefault="00646FF5"/>
    <w:p w14:paraId="514180D9" w14:textId="77777777" w:rsidR="00646FF5" w:rsidRDefault="00000000">
      <w:pPr>
        <w:spacing w:line="264" w:lineRule="auto"/>
        <w:ind w:firstLineChars="200" w:firstLine="420"/>
        <w:rPr>
          <w:rFonts w:ascii="宋体" w:hAnsi="宋体"/>
          <w:szCs w:val="21"/>
        </w:rPr>
      </w:pPr>
      <w:r>
        <w:rPr>
          <w:noProof/>
        </w:rPr>
        <w:lastRenderedPageBreak/>
        <w:drawing>
          <wp:inline distT="0" distB="0" distL="114300" distR="114300" wp14:anchorId="554EC24E" wp14:editId="49810E24">
            <wp:extent cx="4606290" cy="3063875"/>
            <wp:effectExtent l="0" t="0" r="381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E8B6" w14:textId="77777777" w:rsidR="00646FF5" w:rsidRDefault="00000000">
      <w:pPr>
        <w:pStyle w:val="CommentText"/>
      </w:pPr>
      <w:r>
        <w:rPr>
          <w:rFonts w:hint="eastAsia"/>
        </w:rPr>
        <w:t>参考上</w:t>
      </w:r>
      <w:proofErr w:type="gramStart"/>
      <w:r>
        <w:rPr>
          <w:rFonts w:hint="eastAsia"/>
        </w:rPr>
        <w:t>图注意</w:t>
      </w:r>
      <w:proofErr w:type="gramEnd"/>
      <w:r>
        <w:rPr>
          <w:rFonts w:hint="eastAsia"/>
        </w:rPr>
        <w:t>以下事项：</w:t>
      </w:r>
    </w:p>
    <w:p w14:paraId="60046CD3" w14:textId="77777777" w:rsidR="00646FF5" w:rsidRDefault="00000000">
      <w:pPr>
        <w:pStyle w:val="CommentText"/>
        <w:numPr>
          <w:ilvl w:val="0"/>
          <w:numId w:val="5"/>
        </w:numPr>
      </w:pPr>
      <w:r>
        <w:rPr>
          <w:rFonts w:hint="eastAsia"/>
        </w:rPr>
        <w:t>地图要有审图号。</w:t>
      </w:r>
    </w:p>
    <w:p w14:paraId="24CFCB46" w14:textId="77777777" w:rsidR="00646FF5" w:rsidRDefault="00000000">
      <w:pPr>
        <w:pStyle w:val="CommentText"/>
        <w:numPr>
          <w:ilvl w:val="0"/>
          <w:numId w:val="5"/>
        </w:numPr>
      </w:pPr>
      <w:r>
        <w:rPr>
          <w:rFonts w:hint="eastAsia"/>
        </w:rPr>
        <w:t>地图要标明经纬度、指北针和比例尺。</w:t>
      </w:r>
    </w:p>
    <w:p w14:paraId="52B5F021" w14:textId="77777777" w:rsidR="00646FF5" w:rsidRDefault="00000000">
      <w:pPr>
        <w:pStyle w:val="CommentText"/>
        <w:numPr>
          <w:ilvl w:val="0"/>
          <w:numId w:val="5"/>
        </w:numPr>
      </w:pPr>
      <w:r>
        <w:rPr>
          <w:rFonts w:hint="eastAsia"/>
        </w:rPr>
        <w:t>图上所有信息要求中英文对译。</w:t>
      </w:r>
    </w:p>
    <w:p w14:paraId="28CA0891" w14:textId="77777777" w:rsidR="00646FF5" w:rsidRDefault="00646FF5">
      <w:pPr>
        <w:pStyle w:val="CommentText"/>
      </w:pPr>
    </w:p>
    <w:p w14:paraId="69B76FB3" w14:textId="77777777" w:rsidR="00646FF5" w:rsidRDefault="00646FF5">
      <w:pPr>
        <w:spacing w:line="264" w:lineRule="auto"/>
        <w:rPr>
          <w:rFonts w:ascii="黑体" w:eastAsia="黑体"/>
          <w:sz w:val="24"/>
        </w:rPr>
      </w:pPr>
    </w:p>
    <w:p w14:paraId="3D451BBD" w14:textId="77777777" w:rsidR="00646FF5" w:rsidRDefault="00000000">
      <w:pPr>
        <w:spacing w:beforeLines="50" w:before="156" w:afterLines="50" w:after="156" w:line="264" w:lineRule="auto"/>
      </w:pPr>
      <w:r>
        <w:rPr>
          <w:noProof/>
        </w:rPr>
        <w:drawing>
          <wp:inline distT="0" distB="0" distL="114300" distR="114300" wp14:anchorId="770852D1" wp14:editId="155E10AB">
            <wp:extent cx="6115685" cy="2332355"/>
            <wp:effectExtent l="0" t="0" r="5715" b="44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60937" w14:textId="77777777" w:rsidR="00646FF5" w:rsidRDefault="00000000">
      <w:pPr>
        <w:pStyle w:val="CommentText"/>
      </w:pPr>
      <w:r>
        <w:rPr>
          <w:rFonts w:hint="eastAsia"/>
        </w:rPr>
        <w:t>参考上</w:t>
      </w:r>
      <w:proofErr w:type="gramStart"/>
      <w:r>
        <w:rPr>
          <w:rFonts w:hint="eastAsia"/>
        </w:rPr>
        <w:t>图注意</w:t>
      </w:r>
      <w:proofErr w:type="gramEnd"/>
      <w:r>
        <w:rPr>
          <w:rFonts w:hint="eastAsia"/>
        </w:rPr>
        <w:t>以下事项：</w:t>
      </w:r>
    </w:p>
    <w:p w14:paraId="5CDC3781" w14:textId="77777777" w:rsidR="00646FF5" w:rsidRDefault="00000000">
      <w:pPr>
        <w:pStyle w:val="CommentText"/>
        <w:numPr>
          <w:ilvl w:val="0"/>
          <w:numId w:val="6"/>
        </w:numPr>
      </w:pPr>
      <w:r>
        <w:rPr>
          <w:rFonts w:hint="eastAsia"/>
        </w:rPr>
        <w:t>坐标刻度朝内有封口。</w:t>
      </w:r>
    </w:p>
    <w:p w14:paraId="074A365E" w14:textId="77777777" w:rsidR="00646FF5" w:rsidRDefault="00000000">
      <w:pPr>
        <w:pStyle w:val="CommentText"/>
        <w:numPr>
          <w:ilvl w:val="0"/>
          <w:numId w:val="6"/>
        </w:numPr>
      </w:pPr>
      <w:r>
        <w:rPr>
          <w:rFonts w:hint="eastAsia"/>
        </w:rPr>
        <w:t>图注</w:t>
      </w:r>
      <w:proofErr w:type="gramStart"/>
      <w:r>
        <w:rPr>
          <w:rFonts w:hint="eastAsia"/>
        </w:rPr>
        <w:t>放在图题上方</w:t>
      </w:r>
      <w:proofErr w:type="gramEnd"/>
      <w:r>
        <w:rPr>
          <w:rFonts w:hint="eastAsia"/>
        </w:rPr>
        <w:t>，不用写“注”。</w:t>
      </w:r>
    </w:p>
    <w:p w14:paraId="45147A35" w14:textId="77777777" w:rsidR="00646FF5" w:rsidRDefault="00000000">
      <w:pPr>
        <w:pStyle w:val="CommentText"/>
        <w:numPr>
          <w:ilvl w:val="0"/>
          <w:numId w:val="6"/>
        </w:numPr>
      </w:pPr>
      <w:r>
        <w:rPr>
          <w:rFonts w:hint="eastAsia"/>
          <w:szCs w:val="21"/>
        </w:rPr>
        <w:t>图表中变量名与单位之间用“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”分隔。</w:t>
      </w:r>
    </w:p>
    <w:p w14:paraId="3DA116B9" w14:textId="77777777" w:rsidR="00646FF5" w:rsidRDefault="00000000">
      <w:pPr>
        <w:pStyle w:val="CommentText"/>
        <w:numPr>
          <w:ilvl w:val="0"/>
          <w:numId w:val="6"/>
        </w:numPr>
      </w:pPr>
      <w:r>
        <w:rPr>
          <w:rFonts w:hint="eastAsia"/>
        </w:rPr>
        <w:t>单位一般放在英文变量名称后面，</w:t>
      </w:r>
      <w:r>
        <w:rPr>
          <w:rFonts w:hint="eastAsia"/>
          <w:szCs w:val="21"/>
        </w:rPr>
        <w:t>复合单位采用指数积形式</w:t>
      </w:r>
      <w:r>
        <w:rPr>
          <w:rFonts w:hint="eastAsia"/>
        </w:rPr>
        <w:t>。有些中英文单位不一样的，要分开写，例如公顷单位，中文用</w:t>
      </w:r>
      <w:r>
        <w:rPr>
          <w:rFonts w:hint="eastAsia"/>
        </w:rPr>
        <w:t>hm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，英文用</w:t>
      </w:r>
      <w:r>
        <w:rPr>
          <w:rFonts w:hint="eastAsia"/>
        </w:rPr>
        <w:t>ha</w:t>
      </w:r>
      <w:r>
        <w:rPr>
          <w:rFonts w:hint="eastAsia"/>
        </w:rPr>
        <w:t>；年份中文单位为</w:t>
      </w:r>
      <w:r>
        <w:rPr>
          <w:rFonts w:hint="eastAsia"/>
        </w:rPr>
        <w:t>a</w:t>
      </w:r>
      <w:r>
        <w:rPr>
          <w:rFonts w:hint="eastAsia"/>
        </w:rPr>
        <w:t>，英文用</w:t>
      </w:r>
      <w:r>
        <w:rPr>
          <w:rFonts w:hint="eastAsia"/>
        </w:rPr>
        <w:t>year</w:t>
      </w:r>
      <w:r>
        <w:rPr>
          <w:rFonts w:hint="eastAsia"/>
        </w:rPr>
        <w:t>。</w:t>
      </w:r>
    </w:p>
    <w:p w14:paraId="67F19E62" w14:textId="77777777" w:rsidR="00646FF5" w:rsidRDefault="00000000">
      <w:pPr>
        <w:pStyle w:val="CommentText"/>
        <w:numPr>
          <w:ilvl w:val="0"/>
          <w:numId w:val="6"/>
        </w:numPr>
      </w:pPr>
      <w:r>
        <w:rPr>
          <w:rFonts w:hint="eastAsia"/>
        </w:rPr>
        <w:t>图表自明，需要的话，要补充小图的中英文图题。</w:t>
      </w:r>
    </w:p>
    <w:p w14:paraId="3B55F403" w14:textId="77777777" w:rsidR="00646FF5" w:rsidRDefault="00646FF5">
      <w:pPr>
        <w:pStyle w:val="TableCHeading"/>
        <w:numPr>
          <w:ilvl w:val="0"/>
          <w:numId w:val="0"/>
        </w:numPr>
        <w:spacing w:beforeLines="50" w:before="156" w:line="264" w:lineRule="auto"/>
        <w:rPr>
          <w:rFonts w:hAnsi="宋体"/>
          <w:b w:val="0"/>
          <w:szCs w:val="18"/>
        </w:rPr>
      </w:pPr>
    </w:p>
    <w:p w14:paraId="6B7EEBD5" w14:textId="77777777" w:rsidR="00646FF5" w:rsidRDefault="00000000">
      <w:r>
        <w:rPr>
          <w:noProof/>
        </w:rPr>
        <w:lastRenderedPageBreak/>
        <w:drawing>
          <wp:inline distT="0" distB="0" distL="114300" distR="114300" wp14:anchorId="54B22399" wp14:editId="510C7641">
            <wp:extent cx="6116320" cy="1622425"/>
            <wp:effectExtent l="0" t="0" r="5080" b="317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34EC" w14:textId="77777777" w:rsidR="00646FF5" w:rsidRDefault="00000000">
      <w:pPr>
        <w:pStyle w:val="CommentText"/>
        <w:rPr>
          <w:rFonts w:ascii="黑体" w:hAnsi="宋体"/>
        </w:rPr>
      </w:pPr>
      <w:r>
        <w:rPr>
          <w:rFonts w:ascii="黑体" w:hAnsi="宋体" w:hint="eastAsia"/>
        </w:rPr>
        <w:t>参考上表注意以下事项：</w:t>
      </w:r>
    </w:p>
    <w:p w14:paraId="113D4D54" w14:textId="77777777" w:rsidR="00646FF5" w:rsidRDefault="00000000">
      <w:pPr>
        <w:pStyle w:val="CommentText"/>
        <w:numPr>
          <w:ilvl w:val="0"/>
          <w:numId w:val="7"/>
        </w:numPr>
        <w:rPr>
          <w:rFonts w:hAnsi="宋体"/>
          <w:szCs w:val="18"/>
        </w:rPr>
      </w:pPr>
      <w:r>
        <w:rPr>
          <w:rFonts w:ascii="黑体" w:hAnsi="宋体" w:hint="eastAsia"/>
        </w:rPr>
        <w:t>表题（中英文对应）。</w:t>
      </w:r>
    </w:p>
    <w:p w14:paraId="77CC5246" w14:textId="77777777" w:rsidR="00646FF5" w:rsidRDefault="00000000">
      <w:pPr>
        <w:spacing w:line="264" w:lineRule="auto"/>
        <w:rPr>
          <w:szCs w:val="21"/>
        </w:rPr>
      </w:pPr>
      <w:r>
        <w:rPr>
          <w:rFonts w:hAnsi="宋体" w:hint="eastAsia"/>
          <w:szCs w:val="18"/>
        </w:rPr>
        <w:t>2</w:t>
      </w:r>
      <w:r>
        <w:rPr>
          <w:rFonts w:hAnsi="宋体"/>
          <w:szCs w:val="18"/>
        </w:rPr>
        <w:t>.</w:t>
      </w:r>
      <w:r>
        <w:rPr>
          <w:rFonts w:hAnsi="宋体"/>
          <w:szCs w:val="21"/>
        </w:rPr>
        <w:t xml:space="preserve"> </w:t>
      </w:r>
      <w:r>
        <w:rPr>
          <w:rFonts w:hint="eastAsia"/>
          <w:szCs w:val="21"/>
        </w:rPr>
        <w:t>表内采用国际通用的三线表，内容要求中英文对应。</w:t>
      </w:r>
    </w:p>
    <w:p w14:paraId="747D418F" w14:textId="77777777" w:rsidR="00646FF5" w:rsidRDefault="00000000">
      <w:pPr>
        <w:pStyle w:val="CommentText"/>
        <w:rPr>
          <w:bCs/>
        </w:rPr>
      </w:pPr>
      <w:r>
        <w:rPr>
          <w:rFonts w:hAnsi="宋体" w:hint="eastAsia"/>
          <w:szCs w:val="18"/>
        </w:rPr>
        <w:t>3</w:t>
      </w:r>
      <w:r>
        <w:rPr>
          <w:rFonts w:hAnsi="宋体"/>
          <w:szCs w:val="18"/>
        </w:rPr>
        <w:t xml:space="preserve">. </w:t>
      </w:r>
      <w:r>
        <w:rPr>
          <w:bCs/>
        </w:rPr>
        <w:t>表中同类数据小数点后保留相同位数，</w:t>
      </w:r>
      <w:r>
        <w:rPr>
          <w:rFonts w:hint="eastAsia"/>
          <w:bCs/>
        </w:rPr>
        <w:t>数据超过</w:t>
      </w:r>
      <w:r>
        <w:rPr>
          <w:rFonts w:hint="eastAsia"/>
          <w:bCs/>
        </w:rPr>
        <w:t>3</w:t>
      </w:r>
      <w:r>
        <w:rPr>
          <w:rFonts w:hint="eastAsia"/>
          <w:bCs/>
        </w:rPr>
        <w:t>位，注意</w:t>
      </w:r>
      <w:r>
        <w:rPr>
          <w:bCs/>
        </w:rPr>
        <w:t>千分位空格</w:t>
      </w:r>
      <w:r>
        <w:rPr>
          <w:rFonts w:hint="eastAsia"/>
          <w:bCs/>
        </w:rPr>
        <w:t>，如</w:t>
      </w:r>
      <w:r>
        <w:rPr>
          <w:rFonts w:hint="eastAsia"/>
          <w:bCs/>
        </w:rPr>
        <w:t>1</w:t>
      </w:r>
      <w:r>
        <w:rPr>
          <w:bCs/>
        </w:rPr>
        <w:t>23 456.789 1</w:t>
      </w:r>
      <w:r>
        <w:rPr>
          <w:bCs/>
        </w:rPr>
        <w:t>。</w:t>
      </w:r>
    </w:p>
    <w:p w14:paraId="04490E27" w14:textId="77777777" w:rsidR="00646FF5" w:rsidRDefault="00646FF5"/>
    <w:p w14:paraId="01B0A3BF" w14:textId="77777777" w:rsidR="00646FF5" w:rsidRDefault="00000000">
      <w:pPr>
        <w:spacing w:line="264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关于数字和单位</w:t>
      </w:r>
    </w:p>
    <w:p w14:paraId="708684FD" w14:textId="77777777" w:rsidR="00646FF5" w:rsidRDefault="00000000">
      <w:pPr>
        <w:spacing w:line="264" w:lineRule="auto"/>
        <w:ind w:firstLineChars="200" w:firstLine="420"/>
        <w:rPr>
          <w:szCs w:val="21"/>
          <w:lang w:eastAsia="zh-Hans"/>
        </w:rPr>
      </w:pPr>
      <w:r>
        <w:rPr>
          <w:szCs w:val="21"/>
          <w:lang w:eastAsia="zh-Hans"/>
        </w:rPr>
        <w:t>凡</w:t>
      </w:r>
      <w:r>
        <w:rPr>
          <w:rFonts w:hint="eastAsia"/>
          <w:szCs w:val="21"/>
        </w:rPr>
        <w:t>能</w:t>
      </w:r>
      <w:r>
        <w:rPr>
          <w:szCs w:val="21"/>
          <w:lang w:eastAsia="zh-Hans"/>
        </w:rPr>
        <w:t>使用阿拉伯数字的地方，均使用阿拉伯数字。</w:t>
      </w:r>
    </w:p>
    <w:p w14:paraId="73A8DD5D" w14:textId="77777777" w:rsidR="00646FF5" w:rsidRDefault="00000000">
      <w:pPr>
        <w:spacing w:line="264" w:lineRule="auto"/>
        <w:ind w:firstLineChars="200" w:firstLine="420"/>
        <w:rPr>
          <w:szCs w:val="21"/>
        </w:rPr>
      </w:pPr>
      <w:r>
        <w:rPr>
          <w:szCs w:val="21"/>
          <w:lang w:eastAsia="zh-Hans"/>
        </w:rPr>
        <w:t>日期和时刻</w:t>
      </w:r>
      <w:r>
        <w:rPr>
          <w:rFonts w:hint="eastAsia"/>
          <w:szCs w:val="21"/>
        </w:rPr>
        <w:t>格式</w:t>
      </w:r>
      <w:r>
        <w:rPr>
          <w:szCs w:val="21"/>
        </w:rPr>
        <w:t>如</w:t>
      </w:r>
      <w:r>
        <w:rPr>
          <w:szCs w:val="21"/>
          <w:lang w:eastAsia="zh-Hans"/>
        </w:rPr>
        <w:t>20</w:t>
      </w:r>
      <w:r>
        <w:rPr>
          <w:szCs w:val="21"/>
        </w:rPr>
        <w:t>22</w:t>
      </w:r>
      <w:r>
        <w:rPr>
          <w:szCs w:val="21"/>
          <w:lang w:eastAsia="zh-Hans"/>
        </w:rPr>
        <w:t>年</w:t>
      </w:r>
      <w:r>
        <w:rPr>
          <w:szCs w:val="21"/>
        </w:rPr>
        <w:t>1</w:t>
      </w:r>
      <w:r>
        <w:rPr>
          <w:szCs w:val="21"/>
          <w:lang w:eastAsia="zh-Hans"/>
        </w:rPr>
        <w:t>月</w:t>
      </w:r>
      <w:r>
        <w:rPr>
          <w:szCs w:val="21"/>
        </w:rPr>
        <w:t>1</w:t>
      </w:r>
      <w:r>
        <w:rPr>
          <w:szCs w:val="21"/>
          <w:lang w:eastAsia="zh-Hans"/>
        </w:rPr>
        <w:t>日写成</w:t>
      </w:r>
      <w:r>
        <w:rPr>
          <w:szCs w:val="21"/>
          <w:lang w:eastAsia="zh-Hans"/>
        </w:rPr>
        <w:t>20</w:t>
      </w:r>
      <w:r>
        <w:rPr>
          <w:szCs w:val="21"/>
        </w:rPr>
        <w:t>22</w:t>
      </w:r>
      <w:r>
        <w:rPr>
          <w:rFonts w:ascii="宋体" w:hAnsi="宋体" w:cs="宋体"/>
          <w:sz w:val="24"/>
        </w:rPr>
        <w:t>−</w:t>
      </w:r>
      <w:r>
        <w:rPr>
          <w:szCs w:val="21"/>
          <w:lang w:eastAsia="zh-Hans"/>
        </w:rPr>
        <w:t>0</w:t>
      </w:r>
      <w:r>
        <w:rPr>
          <w:szCs w:val="21"/>
        </w:rPr>
        <w:t>1</w:t>
      </w:r>
      <w:r>
        <w:rPr>
          <w:rFonts w:ascii="宋体" w:hAnsi="宋体" w:cs="宋体"/>
          <w:sz w:val="24"/>
        </w:rPr>
        <w:t>−</w:t>
      </w:r>
      <w:r>
        <w:rPr>
          <w:szCs w:val="21"/>
          <w:lang w:eastAsia="zh-Hans"/>
        </w:rPr>
        <w:t>0</w:t>
      </w:r>
      <w:r>
        <w:rPr>
          <w:szCs w:val="21"/>
        </w:rPr>
        <w:t>1</w:t>
      </w:r>
      <w:r>
        <w:rPr>
          <w:szCs w:val="21"/>
          <w:lang w:eastAsia="zh-Hans"/>
        </w:rPr>
        <w:t>或</w:t>
      </w:r>
      <w:r>
        <w:rPr>
          <w:szCs w:val="21"/>
          <w:lang w:eastAsia="zh-Hans"/>
        </w:rPr>
        <w:t>20</w:t>
      </w:r>
      <w:r>
        <w:rPr>
          <w:szCs w:val="21"/>
        </w:rPr>
        <w:t>22</w:t>
      </w:r>
      <w:r>
        <w:rPr>
          <w:szCs w:val="21"/>
          <w:lang w:eastAsia="zh-Hans"/>
        </w:rPr>
        <w:t>0</w:t>
      </w:r>
      <w:r>
        <w:rPr>
          <w:szCs w:val="21"/>
        </w:rPr>
        <w:t>1</w:t>
      </w:r>
      <w:r>
        <w:rPr>
          <w:szCs w:val="21"/>
          <w:lang w:eastAsia="zh-Hans"/>
        </w:rPr>
        <w:t>0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szCs w:val="21"/>
          <w:lang w:eastAsia="zh-Hans"/>
        </w:rPr>
        <w:t>时刻</w:t>
      </w:r>
      <w:r>
        <w:rPr>
          <w:szCs w:val="21"/>
        </w:rPr>
        <w:t>8</w:t>
      </w:r>
      <w:r>
        <w:rPr>
          <w:szCs w:val="21"/>
          <w:lang w:eastAsia="zh-Hans"/>
        </w:rPr>
        <w:t>时</w:t>
      </w:r>
      <w:r>
        <w:rPr>
          <w:szCs w:val="21"/>
          <w:lang w:eastAsia="zh-Hans"/>
        </w:rPr>
        <w:t>15</w:t>
      </w:r>
      <w:r>
        <w:rPr>
          <w:szCs w:val="21"/>
          <w:lang w:eastAsia="zh-Hans"/>
        </w:rPr>
        <w:t>分</w:t>
      </w:r>
      <w:r>
        <w:rPr>
          <w:szCs w:val="21"/>
          <w:lang w:eastAsia="zh-Hans"/>
        </w:rPr>
        <w:t>30</w:t>
      </w:r>
      <w:r>
        <w:rPr>
          <w:szCs w:val="21"/>
          <w:lang w:eastAsia="zh-Hans"/>
        </w:rPr>
        <w:t>秒写成</w:t>
      </w:r>
      <w:r>
        <w:rPr>
          <w:szCs w:val="21"/>
        </w:rPr>
        <w:t>08</w:t>
      </w:r>
      <w:r>
        <w:rPr>
          <w:szCs w:val="21"/>
          <w:lang w:eastAsia="zh-Hans"/>
        </w:rPr>
        <w:t>:15:30</w:t>
      </w:r>
      <w:r>
        <w:rPr>
          <w:rFonts w:hint="eastAsia"/>
          <w:szCs w:val="21"/>
        </w:rPr>
        <w:t>；</w:t>
      </w:r>
      <w:r>
        <w:rPr>
          <w:szCs w:val="21"/>
          <w:lang w:eastAsia="zh-Hans"/>
        </w:rPr>
        <w:t>百分数范围如</w:t>
      </w:r>
      <w:r>
        <w:rPr>
          <w:szCs w:val="21"/>
          <w:lang w:eastAsia="zh-Hans"/>
        </w:rPr>
        <w:t>20%</w:t>
      </w:r>
      <w:r>
        <w:rPr>
          <w:szCs w:val="21"/>
          <w:lang w:eastAsia="zh-Hans"/>
        </w:rPr>
        <w:t>～</w:t>
      </w:r>
      <w:r>
        <w:rPr>
          <w:szCs w:val="21"/>
          <w:lang w:eastAsia="zh-Hans"/>
        </w:rPr>
        <w:t>30%</w:t>
      </w:r>
      <w:r>
        <w:rPr>
          <w:szCs w:val="21"/>
          <w:lang w:eastAsia="zh-Hans"/>
        </w:rPr>
        <w:t>不能写成</w:t>
      </w:r>
      <w:r>
        <w:rPr>
          <w:szCs w:val="21"/>
          <w:lang w:eastAsia="zh-Hans"/>
        </w:rPr>
        <w:t>20</w:t>
      </w:r>
      <w:r>
        <w:rPr>
          <w:szCs w:val="21"/>
          <w:lang w:eastAsia="zh-Hans"/>
        </w:rPr>
        <w:t>～</w:t>
      </w:r>
      <w:r>
        <w:rPr>
          <w:szCs w:val="21"/>
          <w:lang w:eastAsia="zh-Hans"/>
        </w:rPr>
        <w:t>30%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</w:rPr>
        <w:t>（</w:t>
      </w:r>
      <w:r>
        <w:rPr>
          <w:szCs w:val="21"/>
          <w:lang w:eastAsia="zh-Hans"/>
        </w:rPr>
        <w:t>85±2</w:t>
      </w:r>
      <w:r>
        <w:rPr>
          <w:rFonts w:hint="eastAsia"/>
          <w:szCs w:val="21"/>
        </w:rPr>
        <w:t>）</w:t>
      </w:r>
      <w:r>
        <w:rPr>
          <w:szCs w:val="21"/>
          <w:lang w:eastAsia="zh-Hans"/>
        </w:rPr>
        <w:t>%</w:t>
      </w:r>
      <w:r>
        <w:rPr>
          <w:szCs w:val="21"/>
          <w:lang w:eastAsia="zh-Hans"/>
        </w:rPr>
        <w:t>不能成</w:t>
      </w:r>
      <w:r>
        <w:rPr>
          <w:szCs w:val="21"/>
          <w:lang w:eastAsia="zh-Hans"/>
        </w:rPr>
        <w:t>85±2%</w:t>
      </w:r>
      <w:r>
        <w:rPr>
          <w:szCs w:val="21"/>
          <w:lang w:eastAsia="zh-Hans"/>
        </w:rPr>
        <w:t>；偏差范围如</w:t>
      </w:r>
      <w:r>
        <w:rPr>
          <w:rFonts w:hint="eastAsia"/>
          <w:szCs w:val="21"/>
        </w:rPr>
        <w:t>（</w:t>
      </w:r>
      <w:r>
        <w:rPr>
          <w:szCs w:val="21"/>
          <w:lang w:eastAsia="zh-Hans"/>
        </w:rPr>
        <w:t>25±1</w:t>
      </w:r>
      <w:r>
        <w:rPr>
          <w:rFonts w:hint="eastAsia"/>
          <w:szCs w:val="21"/>
        </w:rPr>
        <w:t>）</w:t>
      </w:r>
      <w:r>
        <w:rPr>
          <w:szCs w:val="21"/>
          <w:lang w:eastAsia="zh-Hans"/>
        </w:rPr>
        <w:t>℃</w:t>
      </w:r>
      <w:r>
        <w:rPr>
          <w:szCs w:val="21"/>
          <w:lang w:eastAsia="zh-Hans"/>
        </w:rPr>
        <w:t>不能写成</w:t>
      </w:r>
      <w:r>
        <w:rPr>
          <w:szCs w:val="21"/>
          <w:lang w:eastAsia="zh-Hans"/>
        </w:rPr>
        <w:t>25±1℃</w:t>
      </w:r>
      <w:r>
        <w:rPr>
          <w:rFonts w:hint="eastAsia"/>
          <w:szCs w:val="21"/>
        </w:rPr>
        <w:t>，</w:t>
      </w:r>
      <w:r>
        <w:rPr>
          <w:szCs w:val="21"/>
        </w:rPr>
        <w:t>220 V±10%</w:t>
      </w:r>
      <w:r>
        <w:rPr>
          <w:szCs w:val="21"/>
        </w:rPr>
        <w:t>应改写为</w:t>
      </w:r>
      <w:r>
        <w:rPr>
          <w:rFonts w:hint="eastAsia"/>
          <w:szCs w:val="21"/>
        </w:rPr>
        <w:t>（</w:t>
      </w:r>
      <w:r>
        <w:rPr>
          <w:szCs w:val="21"/>
        </w:rPr>
        <w:t>220±22</w:t>
      </w:r>
      <w:r>
        <w:rPr>
          <w:rFonts w:hint="eastAsia"/>
          <w:szCs w:val="21"/>
        </w:rPr>
        <w:t>）</w:t>
      </w:r>
      <w:r>
        <w:rPr>
          <w:szCs w:val="21"/>
        </w:rPr>
        <w:t>V</w:t>
      </w:r>
      <w:r>
        <w:rPr>
          <w:szCs w:val="21"/>
        </w:rPr>
        <w:t>；带单位的量值相乘</w:t>
      </w:r>
      <w:r>
        <w:rPr>
          <w:szCs w:val="21"/>
        </w:rPr>
        <w:t>100×200×300 mm</w:t>
      </w:r>
      <w:r>
        <w:rPr>
          <w:szCs w:val="21"/>
        </w:rPr>
        <w:t>（或</w:t>
      </w:r>
      <w:r>
        <w:rPr>
          <w:szCs w:val="21"/>
        </w:rPr>
        <w:t>mm</w:t>
      </w:r>
      <w:r>
        <w:rPr>
          <w:szCs w:val="21"/>
          <w:vertAlign w:val="superscript"/>
        </w:rPr>
        <w:t>3</w:t>
      </w:r>
      <w:r>
        <w:rPr>
          <w:szCs w:val="21"/>
        </w:rPr>
        <w:t>）应改为</w:t>
      </w:r>
      <w:r>
        <w:rPr>
          <w:szCs w:val="21"/>
        </w:rPr>
        <w:t>100 mm×200 mm×300 mm</w:t>
      </w:r>
      <w:r>
        <w:rPr>
          <w:szCs w:val="21"/>
        </w:rPr>
        <w:t>。</w:t>
      </w:r>
    </w:p>
    <w:p w14:paraId="30412881" w14:textId="77777777" w:rsidR="00646FF5" w:rsidRDefault="00000000">
      <w:pPr>
        <w:spacing w:line="264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“—”用于时间、日期起止；地点起止；方位（走向</w:t>
      </w:r>
      <w:proofErr w:type="gramStart"/>
      <w:r>
        <w:rPr>
          <w:rFonts w:hint="eastAsia"/>
          <w:szCs w:val="21"/>
        </w:rPr>
        <w:t>东南—</w:t>
      </w:r>
      <w:proofErr w:type="gramEnd"/>
      <w:r>
        <w:rPr>
          <w:rFonts w:hint="eastAsia"/>
          <w:szCs w:val="21"/>
        </w:rPr>
        <w:t>东北）；递进发展；工艺流程。数值范围用“～”。例如：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月表示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月到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月；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月表示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个月时间。</w:t>
      </w:r>
    </w:p>
    <w:p w14:paraId="4EBBB01C" w14:textId="77777777" w:rsidR="00646FF5" w:rsidRDefault="00646FF5">
      <w:pPr>
        <w:spacing w:line="264" w:lineRule="auto"/>
        <w:rPr>
          <w:szCs w:val="21"/>
        </w:rPr>
      </w:pPr>
    </w:p>
    <w:p w14:paraId="115FF472" w14:textId="77777777" w:rsidR="00646FF5" w:rsidRDefault="00000000">
      <w:pPr>
        <w:spacing w:beforeLines="50" w:before="156" w:afterLines="50" w:after="156" w:line="26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3讨  论</w:t>
      </w:r>
    </w:p>
    <w:p w14:paraId="29317DD3" w14:textId="77777777" w:rsidR="00646FF5" w:rsidRDefault="00646FF5">
      <w:pPr>
        <w:spacing w:beforeLines="50" w:before="156" w:afterLines="50" w:after="156" w:line="264" w:lineRule="auto"/>
        <w:rPr>
          <w:rFonts w:ascii="宋体" w:hAnsi="宋体"/>
          <w:sz w:val="24"/>
        </w:rPr>
      </w:pPr>
    </w:p>
    <w:p w14:paraId="6AB4DB45" w14:textId="77777777" w:rsidR="00646FF5" w:rsidRDefault="00000000">
      <w:pPr>
        <w:spacing w:beforeLines="50" w:before="156" w:afterLines="50" w:after="156" w:line="26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4结  论（序号根据文章结构确定） </w:t>
      </w:r>
    </w:p>
    <w:p w14:paraId="374CDB2E" w14:textId="77777777" w:rsidR="00646FF5" w:rsidRDefault="00646FF5">
      <w:pPr>
        <w:spacing w:beforeLines="50" w:before="156" w:afterLines="50" w:after="156" w:line="264" w:lineRule="auto"/>
        <w:rPr>
          <w:rFonts w:ascii="宋体" w:hAnsi="宋体"/>
          <w:sz w:val="24"/>
        </w:rPr>
      </w:pPr>
    </w:p>
    <w:p w14:paraId="1A8149E2" w14:textId="77777777" w:rsidR="00646FF5" w:rsidRDefault="00000000">
      <w:pPr>
        <w:spacing w:beforeLines="50" w:before="156" w:afterLines="50" w:after="156" w:line="26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  参考文献</w:t>
      </w:r>
    </w:p>
    <w:p w14:paraId="6CFC123B" w14:textId="77777777" w:rsidR="00646FF5" w:rsidRDefault="00000000">
      <w:pPr>
        <w:spacing w:line="264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本刊采用</w:t>
      </w:r>
      <w:r>
        <w:rPr>
          <w:rFonts w:ascii="宋体" w:hAnsi="宋体" w:hint="eastAsia"/>
          <w:color w:val="FF0000"/>
          <w:sz w:val="18"/>
          <w:szCs w:val="18"/>
        </w:rPr>
        <w:t>顺序编码</w:t>
      </w:r>
      <w:r>
        <w:rPr>
          <w:rFonts w:ascii="宋体" w:hAnsi="宋体" w:hint="eastAsia"/>
          <w:sz w:val="18"/>
          <w:szCs w:val="18"/>
        </w:rPr>
        <w:t>制格式著录。</w:t>
      </w:r>
      <w:r>
        <w:rPr>
          <w:rFonts w:ascii="宋体" w:hAnsi="宋体"/>
          <w:sz w:val="18"/>
          <w:szCs w:val="18"/>
        </w:rPr>
        <w:t>所有中文文献都要</w:t>
      </w:r>
      <w:r>
        <w:rPr>
          <w:rFonts w:ascii="宋体" w:hAnsi="宋体"/>
          <w:color w:val="FF0000"/>
          <w:sz w:val="18"/>
          <w:szCs w:val="18"/>
        </w:rPr>
        <w:t>有对应的英文翻译</w:t>
      </w:r>
      <w:r>
        <w:rPr>
          <w:rFonts w:ascii="宋体" w:hAnsi="宋体"/>
          <w:sz w:val="18"/>
          <w:szCs w:val="18"/>
        </w:rPr>
        <w:t>；</w:t>
      </w:r>
      <w:r>
        <w:rPr>
          <w:rFonts w:ascii="宋体" w:hAnsi="宋体" w:hint="eastAsia"/>
          <w:sz w:val="18"/>
          <w:szCs w:val="18"/>
        </w:rPr>
        <w:t>主要责任者在3名以内的，全部列出；超过3名时，后面加“等.”字样，</w:t>
      </w:r>
      <w:r>
        <w:rPr>
          <w:rFonts w:ascii="宋体" w:hAnsi="宋体"/>
          <w:sz w:val="18"/>
          <w:szCs w:val="18"/>
        </w:rPr>
        <w:t>英文用</w:t>
      </w:r>
      <w:r>
        <w:rPr>
          <w:rFonts w:ascii="宋体" w:hAnsi="宋体" w:hint="eastAsia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, et al.</w:t>
      </w:r>
      <w:r>
        <w:rPr>
          <w:rFonts w:ascii="宋体" w:hAnsi="宋体" w:hint="eastAsia"/>
          <w:sz w:val="18"/>
          <w:szCs w:val="18"/>
        </w:rPr>
        <w:t>”。姓名之间用逗号“，”分隔。</w:t>
      </w:r>
      <w:r>
        <w:rPr>
          <w:rFonts w:ascii="宋体" w:hAnsi="宋体"/>
          <w:sz w:val="18"/>
          <w:szCs w:val="18"/>
        </w:rPr>
        <w:t>英文文献和对译的文献姓名格式为：</w:t>
      </w:r>
      <w:proofErr w:type="gramStart"/>
      <w:r>
        <w:rPr>
          <w:rFonts w:ascii="宋体" w:hAnsi="宋体"/>
          <w:sz w:val="18"/>
          <w:szCs w:val="18"/>
        </w:rPr>
        <w:t>姓首字母</w:t>
      </w:r>
      <w:proofErr w:type="gramEnd"/>
      <w:r>
        <w:rPr>
          <w:rFonts w:ascii="宋体" w:hAnsi="宋体"/>
          <w:sz w:val="18"/>
          <w:szCs w:val="18"/>
        </w:rPr>
        <w:t>大写，名保留首字母并大写。</w:t>
      </w:r>
    </w:p>
    <w:p w14:paraId="1D5444F1" w14:textId="77777777" w:rsidR="00646FF5" w:rsidRDefault="00000000">
      <w:pPr>
        <w:spacing w:line="264" w:lineRule="auto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参考文献类型及标识</w:t>
      </w:r>
    </w:p>
    <w:tbl>
      <w:tblPr>
        <w:tblW w:w="4536" w:type="dxa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677"/>
        <w:gridCol w:w="429"/>
        <w:gridCol w:w="490"/>
        <w:gridCol w:w="552"/>
        <w:gridCol w:w="552"/>
        <w:gridCol w:w="552"/>
        <w:gridCol w:w="428"/>
        <w:gridCol w:w="428"/>
        <w:gridCol w:w="428"/>
      </w:tblGrid>
      <w:tr w:rsidR="00646FF5" w14:paraId="4B117CD3" w14:textId="77777777">
        <w:trPr>
          <w:jc w:val="center"/>
        </w:trPr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44E58D6B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参考文献类型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356F20BB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专著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03477E21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论文集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68BE6372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报纸文章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6AF9F3BD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期刊文章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12089D03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学位论文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6F7C3F99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报告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0CA0C3AD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标准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14:paraId="0E7F7754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专利</w:t>
            </w:r>
          </w:p>
        </w:tc>
      </w:tr>
      <w:tr w:rsidR="00646FF5" w14:paraId="1B17CB81" w14:textId="77777777">
        <w:trPr>
          <w:jc w:val="center"/>
        </w:trPr>
        <w:tc>
          <w:tcPr>
            <w:tcW w:w="0" w:type="auto"/>
            <w:vAlign w:val="center"/>
          </w:tcPr>
          <w:p w14:paraId="78EE840A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文献类型标识</w:t>
            </w:r>
          </w:p>
        </w:tc>
        <w:tc>
          <w:tcPr>
            <w:tcW w:w="0" w:type="auto"/>
            <w:vAlign w:val="center"/>
          </w:tcPr>
          <w:p w14:paraId="714C6838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0" w:type="auto"/>
            <w:vAlign w:val="center"/>
          </w:tcPr>
          <w:p w14:paraId="1B471E76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</w:p>
        </w:tc>
        <w:tc>
          <w:tcPr>
            <w:tcW w:w="0" w:type="auto"/>
            <w:vAlign w:val="center"/>
          </w:tcPr>
          <w:p w14:paraId="126860EC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</w:p>
        </w:tc>
        <w:tc>
          <w:tcPr>
            <w:tcW w:w="0" w:type="auto"/>
            <w:vAlign w:val="center"/>
          </w:tcPr>
          <w:p w14:paraId="495AFF39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</w:t>
            </w:r>
          </w:p>
        </w:tc>
        <w:tc>
          <w:tcPr>
            <w:tcW w:w="0" w:type="auto"/>
            <w:vAlign w:val="center"/>
          </w:tcPr>
          <w:p w14:paraId="42FDFE1B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14:paraId="250A27D4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0" w:type="auto"/>
            <w:vAlign w:val="center"/>
          </w:tcPr>
          <w:p w14:paraId="11A6B793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0" w:type="auto"/>
            <w:vAlign w:val="center"/>
          </w:tcPr>
          <w:p w14:paraId="43DD47C9" w14:textId="77777777" w:rsidR="00646FF5" w:rsidRDefault="00000000">
            <w:pPr>
              <w:spacing w:line="264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</w:p>
        </w:tc>
      </w:tr>
    </w:tbl>
    <w:p w14:paraId="7AE6D366" w14:textId="77777777" w:rsidR="00646FF5" w:rsidRDefault="00000000">
      <w:pPr>
        <w:spacing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其他未说明的文献，建议采用单字母“</w:t>
      </w:r>
      <w:r>
        <w:rPr>
          <w:rFonts w:hint="eastAsia"/>
          <w:sz w:val="18"/>
          <w:szCs w:val="18"/>
        </w:rPr>
        <w:t>Z</w:t>
      </w:r>
      <w:r>
        <w:rPr>
          <w:rFonts w:hint="eastAsia"/>
          <w:sz w:val="18"/>
          <w:szCs w:val="18"/>
        </w:rPr>
        <w:t>”。</w:t>
      </w:r>
    </w:p>
    <w:p w14:paraId="0448F176" w14:textId="77777777" w:rsidR="00646FF5" w:rsidRDefault="00646FF5">
      <w:pPr>
        <w:spacing w:line="264" w:lineRule="auto"/>
        <w:rPr>
          <w:sz w:val="18"/>
          <w:szCs w:val="18"/>
        </w:rPr>
      </w:pPr>
    </w:p>
    <w:p w14:paraId="7D63E3A7" w14:textId="77777777" w:rsidR="00646FF5" w:rsidRDefault="00646FF5">
      <w:pPr>
        <w:spacing w:line="264" w:lineRule="auto"/>
        <w:rPr>
          <w:sz w:val="18"/>
          <w:szCs w:val="18"/>
        </w:rPr>
      </w:pPr>
    </w:p>
    <w:p w14:paraId="7C2168D0" w14:textId="77777777" w:rsidR="00646FF5" w:rsidRDefault="00000000">
      <w:pPr>
        <w:pStyle w:val="ListParagraph"/>
        <w:numPr>
          <w:ilvl w:val="0"/>
          <w:numId w:val="8"/>
        </w:numPr>
        <w:ind w:left="0"/>
      </w:pPr>
      <w:r>
        <w:t>期刊</w:t>
      </w:r>
    </w:p>
    <w:p w14:paraId="28BEEA2D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标题</w:t>
      </w:r>
      <w:r>
        <w:rPr>
          <w:rFonts w:ascii="Times New Roman" w:hAnsi="Times New Roman" w:cs="Times New Roman"/>
        </w:rPr>
        <w:t xml:space="preserve">[J]. </w:t>
      </w:r>
      <w:r>
        <w:rPr>
          <w:rFonts w:ascii="Times New Roman" w:hAnsi="Times New Roman" w:cs="Times New Roman"/>
        </w:rPr>
        <w:t>刊名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页码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例如：</w:t>
      </w:r>
    </w:p>
    <w:p w14:paraId="3F2A8881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[1] Aas G H, </w:t>
      </w:r>
      <w:proofErr w:type="spellStart"/>
      <w:r>
        <w:rPr>
          <w:rFonts w:ascii="Times New Roman" w:hAnsi="Times New Roman" w:cs="Times New Roman"/>
          <w:sz w:val="18"/>
          <w:szCs w:val="18"/>
        </w:rPr>
        <w:t>Bjerkeng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B, Hatlen B, et al. </w:t>
      </w:r>
      <w:proofErr w:type="spellStart"/>
      <w:r>
        <w:rPr>
          <w:rFonts w:ascii="Times New Roman" w:hAnsi="Times New Roman" w:cs="Times New Roman"/>
          <w:sz w:val="18"/>
          <w:szCs w:val="18"/>
        </w:rPr>
        <w:t>Idoxanthin</w:t>
      </w:r>
      <w:proofErr w:type="spellEnd"/>
      <w:r>
        <w:rPr>
          <w:rFonts w:ascii="Times New Roman" w:hAnsi="Times New Roman" w:cs="Times New Roman"/>
          <w:sz w:val="18"/>
          <w:szCs w:val="18"/>
        </w:rPr>
        <w:t>, a major carotenoid in the flesh of Arctic charr (</w:t>
      </w:r>
      <w:r>
        <w:rPr>
          <w:rFonts w:ascii="Times New Roman" w:hAnsi="Times New Roman" w:cs="Times New Roman"/>
          <w:i/>
          <w:sz w:val="18"/>
          <w:szCs w:val="18"/>
        </w:rPr>
        <w:t>Salvelinus alpinus</w:t>
      </w:r>
      <w:r>
        <w:rPr>
          <w:rFonts w:ascii="Times New Roman" w:hAnsi="Times New Roman" w:cs="Times New Roman"/>
          <w:sz w:val="18"/>
          <w:szCs w:val="18"/>
        </w:rPr>
        <w:t xml:space="preserve">) fed diets containing astaxanthin[J]. Aquaculture, 1997, 150(1/2): 135-142. </w:t>
      </w:r>
    </w:p>
    <w:p w14:paraId="5DC393A1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[2] </w:t>
      </w:r>
      <w:proofErr w:type="spellStart"/>
      <w:r>
        <w:rPr>
          <w:rFonts w:ascii="Times New Roman" w:hAnsi="Times New Roman" w:cs="Times New Roman"/>
          <w:sz w:val="18"/>
          <w:szCs w:val="18"/>
        </w:rPr>
        <w:t>Fishelson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L, Delarea Y, Gon O. Testis structure, spermatogenesis, </w:t>
      </w:r>
      <w:proofErr w:type="spellStart"/>
      <w:r>
        <w:rPr>
          <w:rFonts w:ascii="Times New Roman" w:hAnsi="Times New Roman" w:cs="Times New Roman"/>
          <w:sz w:val="18"/>
          <w:szCs w:val="18"/>
        </w:rPr>
        <w:t>spermatocytogenesis</w:t>
      </w:r>
      <w:proofErr w:type="spellEnd"/>
      <w:r>
        <w:rPr>
          <w:rFonts w:ascii="Times New Roman" w:hAnsi="Times New Roman" w:cs="Times New Roman"/>
          <w:sz w:val="18"/>
          <w:szCs w:val="18"/>
        </w:rPr>
        <w:t>, and sperm structure in cardinal fish (</w:t>
      </w:r>
      <w:proofErr w:type="spellStart"/>
      <w:r>
        <w:rPr>
          <w:rFonts w:ascii="Times New Roman" w:hAnsi="Times New Roman" w:cs="Times New Roman"/>
          <w:sz w:val="18"/>
          <w:szCs w:val="18"/>
        </w:rPr>
        <w:t>Apogonidae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Perciformes)[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J]. Anatomy and Embryology, 2006, 211(1): 31-46. </w:t>
      </w:r>
    </w:p>
    <w:p w14:paraId="33036E5E" w14:textId="77777777" w:rsidR="00646FF5" w:rsidRDefault="00000000">
      <w:pPr>
        <w:autoSpaceDE w:val="0"/>
        <w:autoSpaceDN w:val="0"/>
        <w:spacing w:line="310" w:lineRule="exact"/>
        <w:ind w:hanging="18"/>
        <w:rPr>
          <w:sz w:val="18"/>
          <w:szCs w:val="18"/>
        </w:rPr>
      </w:pPr>
      <w:r>
        <w:rPr>
          <w:sz w:val="18"/>
          <w:szCs w:val="18"/>
        </w:rPr>
        <w:t xml:space="preserve">[3] </w:t>
      </w:r>
      <w:proofErr w:type="spellStart"/>
      <w:r>
        <w:rPr>
          <w:sz w:val="18"/>
          <w:szCs w:val="18"/>
        </w:rPr>
        <w:t>Storebakken</w:t>
      </w:r>
      <w:proofErr w:type="spellEnd"/>
      <w:r>
        <w:rPr>
          <w:sz w:val="18"/>
          <w:szCs w:val="18"/>
        </w:rPr>
        <w:t xml:space="preserve"> T, No H K. Pigmentation of rainbow trout[J]. Aquaculture, 1992, 100(1/3): 209-229. </w:t>
      </w:r>
    </w:p>
    <w:p w14:paraId="25ADCEB0" w14:textId="77777777" w:rsidR="00646FF5" w:rsidRDefault="00000000">
      <w:pPr>
        <w:autoSpaceDE w:val="0"/>
        <w:autoSpaceDN w:val="0"/>
        <w:spacing w:line="310" w:lineRule="exact"/>
        <w:ind w:hanging="18"/>
        <w:rPr>
          <w:sz w:val="18"/>
          <w:szCs w:val="18"/>
        </w:rPr>
      </w:pPr>
      <w:r>
        <w:rPr>
          <w:sz w:val="18"/>
          <w:szCs w:val="18"/>
        </w:rPr>
        <w:t xml:space="preserve">[4] </w:t>
      </w:r>
      <w:proofErr w:type="gramStart"/>
      <w:r>
        <w:rPr>
          <w:sz w:val="18"/>
          <w:szCs w:val="18"/>
        </w:rPr>
        <w:t>雷相东</w:t>
      </w:r>
      <w:proofErr w:type="gramEnd"/>
      <w:r>
        <w:rPr>
          <w:sz w:val="18"/>
          <w:szCs w:val="18"/>
        </w:rPr>
        <w:t>.</w:t>
      </w:r>
      <w:r>
        <w:rPr>
          <w:sz w:val="18"/>
          <w:szCs w:val="18"/>
        </w:rPr>
        <w:t>森林生态系统服务多功能性：概念、指标和经营模拟模型</w:t>
      </w:r>
      <w:r>
        <w:rPr>
          <w:sz w:val="18"/>
          <w:szCs w:val="18"/>
        </w:rPr>
        <w:t>[J].</w:t>
      </w:r>
      <w:r>
        <w:rPr>
          <w:sz w:val="18"/>
          <w:szCs w:val="18"/>
        </w:rPr>
        <w:t>北京林业大学学报，</w:t>
      </w:r>
      <w:r>
        <w:rPr>
          <w:sz w:val="18"/>
          <w:szCs w:val="18"/>
        </w:rPr>
        <w:t>2024</w:t>
      </w:r>
      <w:r>
        <w:rPr>
          <w:sz w:val="18"/>
          <w:szCs w:val="18"/>
        </w:rPr>
        <w:t>，</w:t>
      </w:r>
      <w:r>
        <w:rPr>
          <w:sz w:val="18"/>
          <w:szCs w:val="18"/>
        </w:rPr>
        <w:t>46(5)</w:t>
      </w:r>
      <w:r>
        <w:rPr>
          <w:sz w:val="18"/>
          <w:szCs w:val="18"/>
        </w:rPr>
        <w:t>：</w:t>
      </w:r>
      <w:r>
        <w:rPr>
          <w:sz w:val="18"/>
          <w:szCs w:val="18"/>
        </w:rPr>
        <w:t>1−11.</w:t>
      </w:r>
    </w:p>
    <w:p w14:paraId="17DEF4CE" w14:textId="77777777" w:rsidR="00646FF5" w:rsidRDefault="00000000">
      <w:pPr>
        <w:autoSpaceDE w:val="0"/>
        <w:autoSpaceDN w:val="0"/>
        <w:spacing w:line="310" w:lineRule="exact"/>
        <w:ind w:hanging="18"/>
        <w:rPr>
          <w:sz w:val="18"/>
          <w:szCs w:val="18"/>
        </w:rPr>
      </w:pPr>
      <w:r>
        <w:rPr>
          <w:sz w:val="18"/>
          <w:szCs w:val="18"/>
        </w:rPr>
        <w:t>Lei X</w:t>
      </w:r>
      <w:r>
        <w:rPr>
          <w:rFonts w:hint="eastAsia"/>
          <w:sz w:val="18"/>
          <w:szCs w:val="18"/>
        </w:rPr>
        <w:t xml:space="preserve"> D</w:t>
      </w:r>
      <w:r>
        <w:rPr>
          <w:sz w:val="18"/>
          <w:szCs w:val="18"/>
        </w:rPr>
        <w:t xml:space="preserve">. Forest ecosystem service multi-functionality: definitions, indicators and simulation models for </w:t>
      </w:r>
      <w:proofErr w:type="spellStart"/>
      <w:r>
        <w:rPr>
          <w:sz w:val="18"/>
          <w:szCs w:val="18"/>
        </w:rPr>
        <w:t>forestmanagement</w:t>
      </w:r>
      <w:proofErr w:type="spellEnd"/>
      <w:r>
        <w:rPr>
          <w:sz w:val="18"/>
          <w:szCs w:val="18"/>
        </w:rPr>
        <w:t xml:space="preserve">[J]. Journal of Beijing Forestry University, 2024, 46(5): 1−11. </w:t>
      </w:r>
    </w:p>
    <w:p w14:paraId="5F624585" w14:textId="77777777" w:rsidR="00646FF5" w:rsidRDefault="00000000">
      <w:pPr>
        <w:autoSpaceDE w:val="0"/>
        <w:autoSpaceDN w:val="0"/>
        <w:spacing w:line="310" w:lineRule="exact"/>
        <w:ind w:hanging="1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14:paraId="5811F27B" w14:textId="77777777" w:rsidR="00646FF5" w:rsidRDefault="00000000">
      <w:pPr>
        <w:pStyle w:val="ListParagraph"/>
        <w:ind w:firstLine="0"/>
      </w:pPr>
      <w:r>
        <w:t xml:space="preserve"> </w:t>
      </w:r>
    </w:p>
    <w:p w14:paraId="4390397E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图书</w:t>
      </w:r>
    </w:p>
    <w:p w14:paraId="0EFA6454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书名</w:t>
      </w:r>
      <w:r>
        <w:rPr>
          <w:rFonts w:ascii="Times New Roman" w:hAnsi="Times New Roman" w:cs="Times New Roman"/>
        </w:rPr>
        <w:t xml:space="preserve">[M]. </w:t>
      </w:r>
      <w:r>
        <w:rPr>
          <w:rFonts w:ascii="Times New Roman" w:hAnsi="Times New Roman" w:cs="Times New Roman"/>
        </w:rPr>
        <w:t>译者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版次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出版地所在城市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出版社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页码</w:t>
      </w:r>
      <w:r>
        <w:rPr>
          <w:rFonts w:ascii="Times New Roman" w:hAnsi="Times New Roman" w:cs="Times New Roman"/>
        </w:rPr>
        <w:t xml:space="preserve">. </w:t>
      </w:r>
    </w:p>
    <w:p w14:paraId="36E79DEB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[1]</w:t>
      </w:r>
      <w:r>
        <w:rPr>
          <w:rFonts w:ascii="Times New Roman" w:hAnsi="Times New Roman" w:cs="Times New Roman"/>
          <w:sz w:val="18"/>
          <w:szCs w:val="18"/>
        </w:rPr>
        <w:t>周光宏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畜产品加工学</w:t>
      </w:r>
      <w:r>
        <w:rPr>
          <w:rFonts w:ascii="Times New Roman" w:hAnsi="Times New Roman" w:cs="Times New Roman"/>
          <w:sz w:val="18"/>
          <w:szCs w:val="18"/>
        </w:rPr>
        <w:t xml:space="preserve">[M]. </w:t>
      </w:r>
      <w:r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中国农业出版社</w:t>
      </w:r>
      <w:r>
        <w:rPr>
          <w:rFonts w:ascii="Times New Roman" w:hAnsi="Times New Roman" w:cs="Times New Roman"/>
          <w:sz w:val="18"/>
          <w:szCs w:val="18"/>
        </w:rPr>
        <w:t>, 2002: 206-211.</w:t>
      </w:r>
    </w:p>
    <w:p w14:paraId="6EA20B12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[2]</w:t>
      </w:r>
      <w:r>
        <w:rPr>
          <w:rFonts w:ascii="Times New Roman" w:hAnsi="Times New Roman" w:cs="Times New Roman"/>
          <w:sz w:val="18"/>
          <w:szCs w:val="18"/>
        </w:rPr>
        <w:t>陈新军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刘必林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王尧耕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世界头足类</w:t>
      </w:r>
      <w:r>
        <w:rPr>
          <w:rFonts w:ascii="Times New Roman" w:hAnsi="Times New Roman" w:cs="Times New Roman"/>
          <w:sz w:val="18"/>
          <w:szCs w:val="18"/>
        </w:rPr>
        <w:t xml:space="preserve">[M]. </w:t>
      </w:r>
      <w:r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海洋出版社</w:t>
      </w:r>
      <w:r>
        <w:rPr>
          <w:rFonts w:ascii="Times New Roman" w:hAnsi="Times New Roman" w:cs="Times New Roman"/>
          <w:sz w:val="18"/>
          <w:szCs w:val="18"/>
        </w:rPr>
        <w:t>, 2009: 312-313.</w:t>
      </w:r>
    </w:p>
    <w:p w14:paraId="598FB569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proofErr w:type="gramStart"/>
      <w:r>
        <w:rPr>
          <w:rFonts w:ascii="Times New Roman" w:hAnsi="Times New Roman" w:cs="Times New Roman"/>
          <w:sz w:val="18"/>
          <w:szCs w:val="18"/>
        </w:rPr>
        <w:t>3]Yue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 X. Surface modeling: high accuracy and high speed methods[M]. New York: CRC Press, 2011:100-106.</w:t>
      </w:r>
    </w:p>
    <w:p w14:paraId="792F715B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C1CA5B3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学位论文</w:t>
      </w:r>
    </w:p>
    <w:p w14:paraId="620D7E65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标题</w:t>
      </w:r>
      <w:r>
        <w:rPr>
          <w:rFonts w:ascii="Times New Roman" w:hAnsi="Times New Roman" w:cs="Times New Roman"/>
        </w:rPr>
        <w:t xml:space="preserve">[D]. </w:t>
      </w:r>
      <w:r>
        <w:rPr>
          <w:rFonts w:ascii="Times New Roman" w:hAnsi="Times New Roman" w:cs="Times New Roman" w:hint="eastAsia"/>
        </w:rPr>
        <w:t>学校所在城市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学校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. </w:t>
      </w:r>
    </w:p>
    <w:p w14:paraId="3AB6D5A3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[1] </w:t>
      </w:r>
      <w:r>
        <w:rPr>
          <w:rFonts w:ascii="Times New Roman" w:hAnsi="Times New Roman" w:cs="Times New Roman"/>
          <w:sz w:val="18"/>
          <w:szCs w:val="18"/>
        </w:rPr>
        <w:t>李宁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虾夷扇贝橘红色闭壳肌产生的原因及其在育种中的应用</w:t>
      </w:r>
      <w:r>
        <w:rPr>
          <w:rFonts w:ascii="Times New Roman" w:hAnsi="Times New Roman" w:cs="Times New Roman"/>
          <w:sz w:val="18"/>
          <w:szCs w:val="18"/>
        </w:rPr>
        <w:t xml:space="preserve">[D]. </w:t>
      </w:r>
      <w:r>
        <w:rPr>
          <w:rFonts w:ascii="Times New Roman" w:hAnsi="Times New Roman" w:cs="Times New Roman"/>
          <w:sz w:val="18"/>
          <w:szCs w:val="18"/>
        </w:rPr>
        <w:t>青岛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中国海洋大学</w:t>
      </w:r>
      <w:r>
        <w:rPr>
          <w:rFonts w:ascii="Times New Roman" w:hAnsi="Times New Roman" w:cs="Times New Roman"/>
          <w:sz w:val="18"/>
          <w:szCs w:val="18"/>
        </w:rPr>
        <w:t>, 2009.</w:t>
      </w:r>
    </w:p>
    <w:p w14:paraId="132EAC1A" w14:textId="77777777" w:rsidR="00646FF5" w:rsidRDefault="00000000">
      <w:pPr>
        <w:pStyle w:val="ListParagraph"/>
        <w:ind w:firstLine="0"/>
      </w:pPr>
      <w:r>
        <w:t xml:space="preserve"> </w:t>
      </w:r>
    </w:p>
    <w:p w14:paraId="008D2BC7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析出文献</w:t>
      </w:r>
    </w:p>
    <w:p w14:paraId="42D52BF6" w14:textId="77777777" w:rsidR="00646FF5" w:rsidRDefault="00000000">
      <w:pPr>
        <w:spacing w:line="288" w:lineRule="auto"/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序号</w:t>
      </w:r>
      <w:r>
        <w:rPr>
          <w:rFonts w:hint="eastAsia"/>
          <w:sz w:val="18"/>
          <w:szCs w:val="18"/>
        </w:rPr>
        <w:t>]</w:t>
      </w:r>
      <w:r>
        <w:rPr>
          <w:rFonts w:hint="eastAsia"/>
          <w:sz w:val="18"/>
          <w:szCs w:val="18"/>
        </w:rPr>
        <w:t>析出文献主要责任者</w:t>
      </w:r>
      <w:r>
        <w:rPr>
          <w:sz w:val="18"/>
          <w:szCs w:val="18"/>
        </w:rPr>
        <w:t>．</w:t>
      </w:r>
      <w:r>
        <w:rPr>
          <w:rFonts w:hint="eastAsia"/>
          <w:sz w:val="18"/>
          <w:szCs w:val="18"/>
        </w:rPr>
        <w:t>析出文献题名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文献类型标志</w:t>
      </w:r>
      <w:r>
        <w:rPr>
          <w:rFonts w:hint="eastAsia"/>
          <w:sz w:val="18"/>
          <w:szCs w:val="18"/>
        </w:rPr>
        <w:t xml:space="preserve">]// </w:t>
      </w:r>
      <w:r>
        <w:rPr>
          <w:rFonts w:hint="eastAsia"/>
          <w:sz w:val="18"/>
          <w:szCs w:val="18"/>
        </w:rPr>
        <w:t>专著主要责任者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专著题名</w:t>
      </w:r>
      <w:r>
        <w:rPr>
          <w:sz w:val="18"/>
          <w:szCs w:val="18"/>
        </w:rPr>
        <w:t>．</w:t>
      </w:r>
      <w:r>
        <w:rPr>
          <w:rFonts w:hint="eastAsia"/>
          <w:sz w:val="18"/>
          <w:szCs w:val="18"/>
        </w:rPr>
        <w:t>出版地所在城市：出版者，出版年：析出文献起止页码</w:t>
      </w:r>
      <w:r>
        <w:rPr>
          <w:sz w:val="18"/>
          <w:szCs w:val="18"/>
        </w:rPr>
        <w:t>．</w:t>
      </w:r>
    </w:p>
    <w:p w14:paraId="07045ED4" w14:textId="77777777" w:rsidR="00646FF5" w:rsidRDefault="00646FF5">
      <w:pPr>
        <w:pStyle w:val="ListParagraph"/>
        <w:ind w:firstLine="0"/>
        <w:rPr>
          <w:rFonts w:ascii="Times New Roman" w:hAnsi="Times New Roman" w:cs="Times New Roman"/>
        </w:rPr>
      </w:pPr>
    </w:p>
    <w:p w14:paraId="4DB69D84" w14:textId="77777777" w:rsidR="00646FF5" w:rsidRDefault="0000000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会议析出</w:t>
      </w:r>
    </w:p>
    <w:p w14:paraId="71C5BB20" w14:textId="77777777" w:rsidR="00646FF5" w:rsidRDefault="00000000">
      <w:pPr>
        <w:spacing w:line="300" w:lineRule="auto"/>
        <w:jc w:val="left"/>
        <w:rPr>
          <w:sz w:val="18"/>
          <w:szCs w:val="18"/>
        </w:rPr>
      </w:pPr>
      <w:r>
        <w:rPr>
          <w:sz w:val="18"/>
          <w:szCs w:val="18"/>
        </w:rPr>
        <w:t>[1</w:t>
      </w:r>
      <w:proofErr w:type="gramStart"/>
      <w:r>
        <w:rPr>
          <w:sz w:val="18"/>
          <w:szCs w:val="18"/>
        </w:rPr>
        <w:t>]  Schultz</w:t>
      </w:r>
      <w:proofErr w:type="gramEnd"/>
      <w:r>
        <w:rPr>
          <w:sz w:val="18"/>
          <w:szCs w:val="18"/>
        </w:rPr>
        <w:t xml:space="preserve"> H, Riseman E M, Stolle F R, et al. Error detection and DEM fusion using self-consistency[C]//The proceedings of the seventh IEEE international conference on computer vision. Kerkyra: IEEE, 1999, 2: 1174-1181. </w:t>
      </w:r>
    </w:p>
    <w:p w14:paraId="49A8A33A" w14:textId="77777777" w:rsidR="00646FF5" w:rsidRDefault="00000000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图书析出</w:t>
      </w:r>
    </w:p>
    <w:p w14:paraId="658AB16C" w14:textId="77777777" w:rsidR="00646FF5" w:rsidRDefault="00000000">
      <w:pPr>
        <w:spacing w:line="300" w:lineRule="auto"/>
        <w:jc w:val="left"/>
        <w:rPr>
          <w:sz w:val="18"/>
          <w:szCs w:val="18"/>
        </w:rPr>
      </w:pPr>
      <w:r>
        <w:rPr>
          <w:sz w:val="18"/>
          <w:szCs w:val="18"/>
        </w:rPr>
        <w:t>[1</w:t>
      </w:r>
      <w:proofErr w:type="gramStart"/>
      <w:r>
        <w:rPr>
          <w:sz w:val="18"/>
          <w:szCs w:val="18"/>
        </w:rPr>
        <w:t xml:space="preserve">]  </w:t>
      </w:r>
      <w:proofErr w:type="spellStart"/>
      <w:r>
        <w:rPr>
          <w:sz w:val="18"/>
          <w:szCs w:val="18"/>
        </w:rPr>
        <w:t>Papasaika</w:t>
      </w:r>
      <w:proofErr w:type="spellEnd"/>
      <w:proofErr w:type="gramEnd"/>
      <w:r>
        <w:rPr>
          <w:sz w:val="18"/>
          <w:szCs w:val="18"/>
        </w:rPr>
        <w:t xml:space="preserve"> H, </w:t>
      </w:r>
      <w:proofErr w:type="spellStart"/>
      <w:r>
        <w:rPr>
          <w:sz w:val="18"/>
          <w:szCs w:val="18"/>
        </w:rPr>
        <w:t>Kokiopoulou</w:t>
      </w:r>
      <w:proofErr w:type="spellEnd"/>
      <w:r>
        <w:rPr>
          <w:sz w:val="18"/>
          <w:szCs w:val="18"/>
        </w:rPr>
        <w:t xml:space="preserve"> E, </w:t>
      </w:r>
      <w:proofErr w:type="spellStart"/>
      <w:r>
        <w:rPr>
          <w:sz w:val="18"/>
          <w:szCs w:val="18"/>
        </w:rPr>
        <w:t>Baltsavias</w:t>
      </w:r>
      <w:proofErr w:type="spellEnd"/>
      <w:r>
        <w:rPr>
          <w:sz w:val="18"/>
          <w:szCs w:val="18"/>
        </w:rPr>
        <w:t xml:space="preserve"> E, et al. Fusion of digital elevation models using sparse representations[M]//Stilla U, Rottensteiner F, Mayer H, et al. Photogrammetric image analysis. Berlin Heidelberg: Springer, 2011: 171-184. </w:t>
      </w:r>
    </w:p>
    <w:p w14:paraId="14C575C5" w14:textId="77777777" w:rsidR="00646FF5" w:rsidRDefault="00000000">
      <w:pPr>
        <w:pStyle w:val="ListParagraph"/>
        <w:ind w:firstLine="0"/>
      </w:pPr>
      <w:r>
        <w:t xml:space="preserve"> </w:t>
      </w:r>
    </w:p>
    <w:p w14:paraId="7643D1DE" w14:textId="77777777" w:rsidR="00646FF5" w:rsidRDefault="00000000">
      <w:pPr>
        <w:pStyle w:val="ListParagraph"/>
        <w:numPr>
          <w:ilvl w:val="0"/>
          <w:numId w:val="8"/>
        </w:numPr>
        <w:ind w:left="0"/>
      </w:pPr>
      <w:r>
        <w:t>报告</w:t>
      </w:r>
    </w:p>
    <w:p w14:paraId="22D7208B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标题</w:t>
      </w:r>
      <w:r>
        <w:rPr>
          <w:rFonts w:ascii="Times New Roman" w:hAnsi="Times New Roman" w:cs="Times New Roman"/>
        </w:rPr>
        <w:t xml:space="preserve">[R]. </w:t>
      </w:r>
      <w:r>
        <w:rPr>
          <w:rFonts w:ascii="Times New Roman" w:hAnsi="Times New Roman" w:cs="Times New Roman" w:hint="eastAsia"/>
        </w:rPr>
        <w:t>出版地所在城市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出版社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. </w:t>
      </w:r>
    </w:p>
    <w:p w14:paraId="320847BE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[5] World Health Organization. Factors regulating the immune response: report of WHO Scientific Group[R]. Geneva: WHO, 1970.</w:t>
      </w:r>
    </w:p>
    <w:p w14:paraId="02B5164C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252604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标准</w:t>
      </w:r>
    </w:p>
    <w:p w14:paraId="44306170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标准题名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标准编号</w:t>
      </w:r>
      <w:r>
        <w:rPr>
          <w:rFonts w:ascii="Times New Roman" w:hAnsi="Times New Roman" w:cs="Times New Roman"/>
        </w:rPr>
        <w:t xml:space="preserve">[S]. </w:t>
      </w:r>
      <w:r>
        <w:rPr>
          <w:rFonts w:ascii="Times New Roman" w:hAnsi="Times New Roman" w:cs="Times New Roman" w:hint="eastAsia"/>
        </w:rPr>
        <w:t>出版地所在城市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出版社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. </w:t>
      </w:r>
    </w:p>
    <w:p w14:paraId="0F16EB85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[1]</w:t>
      </w:r>
      <w:r>
        <w:rPr>
          <w:rFonts w:ascii="Times New Roman" w:hAnsi="Times New Roman" w:cs="Times New Roman"/>
          <w:sz w:val="18"/>
          <w:szCs w:val="18"/>
        </w:rPr>
        <w:t>国家标准化管理委员会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肉与肉制品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脂肪酸测定</w:t>
      </w:r>
      <w:r>
        <w:rPr>
          <w:rFonts w:ascii="Times New Roman" w:hAnsi="Times New Roman" w:cs="Times New Roman"/>
          <w:sz w:val="18"/>
          <w:szCs w:val="18"/>
        </w:rPr>
        <w:t xml:space="preserve">: GB/T 9695.2-2008[S]. </w:t>
      </w:r>
      <w:r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中国标准出版社</w:t>
      </w:r>
      <w:r>
        <w:rPr>
          <w:rFonts w:ascii="Times New Roman" w:hAnsi="Times New Roman" w:cs="Times New Roman"/>
          <w:sz w:val="18"/>
          <w:szCs w:val="18"/>
        </w:rPr>
        <w:t>, 2008.</w:t>
      </w:r>
    </w:p>
    <w:p w14:paraId="7D55FB05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68BE760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专利</w:t>
      </w:r>
    </w:p>
    <w:p w14:paraId="203831C2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标题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专利号</w:t>
      </w:r>
      <w:r>
        <w:rPr>
          <w:rFonts w:ascii="Times New Roman" w:hAnsi="Times New Roman" w:cs="Times New Roman"/>
        </w:rPr>
        <w:t xml:space="preserve">[P]. </w:t>
      </w:r>
      <w:r>
        <w:rPr>
          <w:rFonts w:ascii="Times New Roman" w:hAnsi="Times New Roman" w:cs="Times New Roman"/>
        </w:rPr>
        <w:t>出版日期</w:t>
      </w:r>
      <w:r>
        <w:rPr>
          <w:rFonts w:ascii="Times New Roman" w:hAnsi="Times New Roman" w:cs="Times New Roman"/>
        </w:rPr>
        <w:t xml:space="preserve">. </w:t>
      </w:r>
    </w:p>
    <w:p w14:paraId="26D997D3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[1] </w:t>
      </w:r>
      <w:r>
        <w:rPr>
          <w:rFonts w:ascii="Times New Roman" w:hAnsi="Times New Roman" w:cs="Times New Roman"/>
          <w:sz w:val="18"/>
          <w:szCs w:val="18"/>
        </w:rPr>
        <w:t>张凯军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轨道火车及高速轨道火车紧急安全制动辅助装置</w:t>
      </w:r>
      <w:r>
        <w:rPr>
          <w:rFonts w:ascii="Times New Roman" w:hAnsi="Times New Roman" w:cs="Times New Roman"/>
          <w:sz w:val="18"/>
          <w:szCs w:val="18"/>
        </w:rPr>
        <w:t>: 201220158825.2[P]. 2012-04-05.</w:t>
      </w:r>
    </w:p>
    <w:p w14:paraId="04A243E9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13F558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电子文献</w:t>
      </w:r>
    </w:p>
    <w:p w14:paraId="78B8178B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标题</w:t>
      </w:r>
      <w:r>
        <w:rPr>
          <w:rFonts w:ascii="Times New Roman" w:hAnsi="Times New Roman" w:cs="Times New Roman"/>
        </w:rPr>
        <w:t>[EB/OL]. (</w:t>
      </w:r>
      <w:r>
        <w:rPr>
          <w:rFonts w:ascii="Times New Roman" w:hAnsi="Times New Roman" w:cs="Times New Roman"/>
        </w:rPr>
        <w:t>出版或更新日期</w:t>
      </w:r>
      <w:r>
        <w:rPr>
          <w:rFonts w:ascii="Times New Roman" w:hAnsi="Times New Roman" w:cs="Times New Roman"/>
        </w:rPr>
        <w:t>)[</w:t>
      </w:r>
      <w:r>
        <w:rPr>
          <w:rFonts w:ascii="Times New Roman" w:hAnsi="Times New Roman" w:cs="Times New Roman"/>
        </w:rPr>
        <w:t>引用日期</w:t>
      </w:r>
      <w:r>
        <w:rPr>
          <w:rFonts w:ascii="Times New Roman" w:hAnsi="Times New Roman" w:cs="Times New Roman"/>
        </w:rPr>
        <w:t xml:space="preserve">]. </w:t>
      </w:r>
      <w:r>
        <w:rPr>
          <w:rFonts w:ascii="Times New Roman" w:hAnsi="Times New Roman" w:cs="Times New Roman"/>
        </w:rPr>
        <w:t>链接</w:t>
      </w:r>
      <w:r>
        <w:rPr>
          <w:rFonts w:ascii="Times New Roman" w:hAnsi="Times New Roman" w:cs="Times New Roman"/>
        </w:rPr>
        <w:t>.</w:t>
      </w:r>
    </w:p>
    <w:p w14:paraId="496C22E3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标题</w:t>
      </w:r>
      <w:r>
        <w:rPr>
          <w:rFonts w:ascii="Times New Roman" w:hAnsi="Times New Roman" w:cs="Times New Roman"/>
        </w:rPr>
        <w:t xml:space="preserve">[J/OL]. </w:t>
      </w:r>
      <w:r>
        <w:rPr>
          <w:rFonts w:ascii="Times New Roman" w:hAnsi="Times New Roman" w:cs="Times New Roman"/>
        </w:rPr>
        <w:t>刊名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年，卷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：页码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下载日期</w:t>
      </w:r>
      <w:r>
        <w:rPr>
          <w:rFonts w:ascii="Times New Roman" w:hAnsi="Times New Roman" w:cs="Times New Roman"/>
        </w:rPr>
        <w:t>].</w:t>
      </w:r>
      <w:r>
        <w:rPr>
          <w:rFonts w:ascii="Times New Roman" w:hAnsi="Times New Roman" w:cs="Times New Roman"/>
        </w:rPr>
        <w:t>网址</w:t>
      </w:r>
      <w:r>
        <w:rPr>
          <w:rFonts w:ascii="Times New Roman" w:hAnsi="Times New Roman" w:cs="Times New Roman"/>
        </w:rPr>
        <w:t>.</w:t>
      </w:r>
    </w:p>
    <w:p w14:paraId="54832DD0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标题</w:t>
      </w:r>
      <w:r>
        <w:rPr>
          <w:rFonts w:ascii="Times New Roman" w:hAnsi="Times New Roman" w:cs="Times New Roman"/>
        </w:rPr>
        <w:t xml:space="preserve">[M/OL]. </w:t>
      </w:r>
      <w:r>
        <w:rPr>
          <w:rFonts w:ascii="Times New Roman" w:hAnsi="Times New Roman" w:cs="Times New Roman"/>
        </w:rPr>
        <w:t>所在城市名：刊名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年：页码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出版或更新日期</w:t>
      </w:r>
      <w:r>
        <w:rPr>
          <w:rFonts w:ascii="Times New Roman" w:hAnsi="Times New Roman" w:cs="Times New Roman"/>
        </w:rPr>
        <w:t>)[</w:t>
      </w:r>
      <w:r>
        <w:rPr>
          <w:rFonts w:ascii="Times New Roman" w:hAnsi="Times New Roman" w:cs="Times New Roman"/>
        </w:rPr>
        <w:t>下载日期</w:t>
      </w:r>
      <w:r>
        <w:rPr>
          <w:rFonts w:ascii="Times New Roman" w:hAnsi="Times New Roman" w:cs="Times New Roman"/>
        </w:rPr>
        <w:t>].</w:t>
      </w:r>
      <w:r>
        <w:rPr>
          <w:rFonts w:ascii="Times New Roman" w:hAnsi="Times New Roman" w:cs="Times New Roman"/>
        </w:rPr>
        <w:t>网址</w:t>
      </w:r>
      <w:r>
        <w:rPr>
          <w:rFonts w:ascii="Times New Roman" w:hAnsi="Times New Roman" w:cs="Times New Roman"/>
        </w:rPr>
        <w:t>.</w:t>
      </w:r>
    </w:p>
    <w:p w14:paraId="47816C1D" w14:textId="77777777" w:rsidR="00646FF5" w:rsidRDefault="00000000">
      <w:pPr>
        <w:pStyle w:val="ListParagraph"/>
        <w:numPr>
          <w:ilvl w:val="0"/>
          <w:numId w:val="10"/>
        </w:numPr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萧钰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出版业信息化迈入快车道</w:t>
      </w:r>
      <w:r>
        <w:rPr>
          <w:rFonts w:ascii="Times New Roman" w:hAnsi="Times New Roman" w:cs="Times New Roman"/>
          <w:sz w:val="18"/>
          <w:szCs w:val="18"/>
        </w:rPr>
        <w:t>[EB/OL]. (2001-12-</w:t>
      </w:r>
      <w:proofErr w:type="gramStart"/>
      <w:r>
        <w:rPr>
          <w:rFonts w:ascii="Times New Roman" w:hAnsi="Times New Roman" w:cs="Times New Roman"/>
          <w:sz w:val="18"/>
          <w:szCs w:val="18"/>
        </w:rPr>
        <w:t>19)[</w:t>
      </w:r>
      <w:proofErr w:type="gramEnd"/>
      <w:r>
        <w:rPr>
          <w:rFonts w:ascii="Times New Roman" w:hAnsi="Times New Roman" w:cs="Times New Roman"/>
          <w:sz w:val="18"/>
          <w:szCs w:val="18"/>
        </w:rPr>
        <w:t>2002-04-15]. http://www.creader.com/news/20011219/200112190019.html.</w:t>
      </w:r>
    </w:p>
    <w:p w14:paraId="4B1D6F6C" w14:textId="77777777" w:rsidR="00646FF5" w:rsidRDefault="00000000">
      <w:pPr>
        <w:pStyle w:val="ListParagraph"/>
        <w:numPr>
          <w:ilvl w:val="0"/>
          <w:numId w:val="10"/>
        </w:numPr>
        <w:ind w:firstLine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Başkent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 Z, Kašpar J. Exploring the effects of various </w:t>
      </w:r>
      <w:proofErr w:type="spellStart"/>
      <w:r>
        <w:rPr>
          <w:rFonts w:ascii="Times New Roman" w:hAnsi="Times New Roman" w:cs="Times New Roman"/>
          <w:sz w:val="18"/>
          <w:szCs w:val="18"/>
        </w:rPr>
        <w:t>rotationlengths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on the ecosystem services within a multiple-</w:t>
      </w:r>
      <w:proofErr w:type="spellStart"/>
      <w:r>
        <w:rPr>
          <w:rFonts w:ascii="Times New Roman" w:hAnsi="Times New Roman" w:cs="Times New Roman"/>
          <w:sz w:val="18"/>
          <w:szCs w:val="18"/>
        </w:rPr>
        <w:t>usemanagement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framework[</w:t>
      </w:r>
      <w:r>
        <w:rPr>
          <w:rFonts w:ascii="Times New Roman" w:hAnsi="Times New Roman" w:cs="Times New Roman"/>
          <w:color w:val="FF0000"/>
          <w:sz w:val="18"/>
          <w:szCs w:val="18"/>
        </w:rPr>
        <w:t>J/OL</w:t>
      </w:r>
      <w:r>
        <w:rPr>
          <w:rFonts w:ascii="Times New Roman" w:hAnsi="Times New Roman" w:cs="Times New Roman"/>
          <w:sz w:val="18"/>
          <w:szCs w:val="18"/>
        </w:rPr>
        <w:t>]. Forest Ecology and Management,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2023, 538: 120974.</w:t>
      </w:r>
      <w:r>
        <w:rPr>
          <w:rFonts w:ascii="Times New Roman" w:hAnsi="Times New Roman" w:cs="Times New Roman"/>
          <w:color w:val="FF0000"/>
          <w:sz w:val="18"/>
          <w:szCs w:val="18"/>
        </w:rPr>
        <w:t>[</w:t>
      </w:r>
      <w:r>
        <w:rPr>
          <w:rFonts w:ascii="Times New Roman" w:hAnsi="Times New Roman" w:cs="Times New Roman"/>
          <w:color w:val="FF0000"/>
          <w:sz w:val="18"/>
          <w:szCs w:val="18"/>
        </w:rPr>
        <w:t>下载日期</w:t>
      </w:r>
      <w:r>
        <w:rPr>
          <w:rFonts w:ascii="Times New Roman" w:hAnsi="Times New Roman" w:cs="Times New Roman"/>
          <w:color w:val="FF0000"/>
          <w:sz w:val="18"/>
          <w:szCs w:val="18"/>
        </w:rPr>
        <w:t>].</w:t>
      </w:r>
      <w:r>
        <w:rPr>
          <w:rFonts w:ascii="Times New Roman" w:hAnsi="Times New Roman" w:cs="Times New Roman"/>
          <w:color w:val="FF0000"/>
          <w:sz w:val="18"/>
          <w:szCs w:val="18"/>
        </w:rPr>
        <w:t>下载网址</w:t>
      </w:r>
    </w:p>
    <w:p w14:paraId="434868BD" w14:textId="77777777" w:rsidR="00646FF5" w:rsidRDefault="00000000">
      <w:pPr>
        <w:pStyle w:val="ListParagraph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BE6E0B8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报纸文章</w:t>
      </w:r>
    </w:p>
    <w:p w14:paraId="7347C650" w14:textId="77777777" w:rsidR="00646FF5" w:rsidRDefault="00000000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主要责任者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文献题名</w:t>
      </w:r>
      <w:r>
        <w:rPr>
          <w:rFonts w:ascii="Times New Roman" w:hAnsi="Times New Roman" w:cs="Times New Roman"/>
        </w:rPr>
        <w:t>[N]</w:t>
      </w:r>
      <w:r>
        <w:rPr>
          <w:rFonts w:ascii="Times New Roman" w:hAnsi="Times New Roman" w:cs="Times New Roman"/>
        </w:rPr>
        <w:t>．报纸名，出版日期（版次）．</w:t>
      </w:r>
    </w:p>
    <w:p w14:paraId="238FD23E" w14:textId="77777777" w:rsidR="00646FF5" w:rsidRDefault="00646FF5">
      <w:pPr>
        <w:pStyle w:val="ListParagraph"/>
        <w:ind w:firstLine="0"/>
        <w:rPr>
          <w:rFonts w:ascii="Times New Roman" w:hAnsi="Times New Roman" w:cs="Times New Roman"/>
        </w:rPr>
      </w:pPr>
    </w:p>
    <w:p w14:paraId="5F814CA5" w14:textId="77777777" w:rsidR="00646FF5" w:rsidRDefault="00000000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各种未定义类型文献</w:t>
      </w:r>
    </w:p>
    <w:p w14:paraId="7E6631A6" w14:textId="77777777" w:rsidR="00646FF5" w:rsidRDefault="00000000">
      <w:pPr>
        <w:pStyle w:val="ListParagraph"/>
        <w:ind w:firstLine="0"/>
        <w:rPr>
          <w:b/>
          <w:color w:val="FF6600"/>
          <w:sz w:val="28"/>
          <w:szCs w:val="28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主要责任者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文献题名</w:t>
      </w:r>
      <w:r>
        <w:rPr>
          <w:rFonts w:ascii="Times New Roman" w:hAnsi="Times New Roman" w:cs="Times New Roman"/>
        </w:rPr>
        <w:t xml:space="preserve">[Z]. </w:t>
      </w:r>
      <w:r>
        <w:rPr>
          <w:rFonts w:ascii="Times New Roman" w:hAnsi="Times New Roman" w:cs="Times New Roman" w:hint="eastAsia"/>
        </w:rPr>
        <w:t>出版地所在城市</w:t>
      </w:r>
      <w:r>
        <w:rPr>
          <w:rFonts w:ascii="Times New Roman" w:hAnsi="Times New Roman" w:cs="Times New Roman"/>
        </w:rPr>
        <w:t>：出版者，出版年</w:t>
      </w:r>
      <w:r>
        <w:rPr>
          <w:rFonts w:ascii="Times New Roman" w:hAnsi="Times New Roman" w:cs="Times New Roman"/>
        </w:rPr>
        <w:t>.</w:t>
      </w:r>
    </w:p>
    <w:p w14:paraId="318BBA19" w14:textId="77777777" w:rsidR="00646FF5" w:rsidRDefault="00646FF5">
      <w:pPr>
        <w:spacing w:line="264" w:lineRule="auto"/>
        <w:rPr>
          <w:szCs w:val="21"/>
        </w:rPr>
      </w:pPr>
    </w:p>
    <w:p w14:paraId="586F103F" w14:textId="77777777" w:rsidR="00646FF5" w:rsidRDefault="00646FF5">
      <w:pPr>
        <w:spacing w:beforeLines="50" w:before="156" w:afterLines="50" w:after="156" w:line="264" w:lineRule="auto"/>
      </w:pPr>
    </w:p>
    <w:p w14:paraId="37CF1F72" w14:textId="77777777" w:rsidR="00646FF5" w:rsidRDefault="00646FF5"/>
    <w:sectPr w:rsidR="00646FF5"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11FC" w14:textId="77777777" w:rsidR="001C5AEF" w:rsidRDefault="001C5AEF">
      <w:r>
        <w:separator/>
      </w:r>
    </w:p>
  </w:endnote>
  <w:endnote w:type="continuationSeparator" w:id="0">
    <w:p w14:paraId="51AE7EA9" w14:textId="77777777" w:rsidR="001C5AEF" w:rsidRDefault="001C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C378" w14:textId="77777777" w:rsidR="00646FF5" w:rsidRDefault="00000000">
    <w:pPr>
      <w:pStyle w:val="FootnoteText"/>
      <w:spacing w:line="288" w:lineRule="auto"/>
      <w:ind w:firstLineChars="200" w:firstLine="300"/>
      <w:rPr>
        <w:sz w:val="15"/>
        <w:szCs w:val="15"/>
      </w:rPr>
    </w:pPr>
    <w:r>
      <w:rPr>
        <w:rFonts w:ascii="黑体" w:eastAsia="黑体" w:hAnsi="黑体" w:hint="eastAsia"/>
        <w:sz w:val="15"/>
        <w:szCs w:val="15"/>
      </w:rPr>
      <w:t>收稿日期</w:t>
    </w:r>
    <w:r>
      <w:rPr>
        <w:rFonts w:hint="eastAsia"/>
        <w:sz w:val="15"/>
        <w:szCs w:val="15"/>
      </w:rPr>
      <w:t>：</w:t>
    </w:r>
    <w:r>
      <w:rPr>
        <w:rFonts w:hint="eastAsia"/>
        <w:sz w:val="15"/>
        <w:szCs w:val="15"/>
      </w:rPr>
      <w:t>20</w:t>
    </w:r>
    <w:r>
      <w:rPr>
        <w:sz w:val="15"/>
        <w:szCs w:val="15"/>
      </w:rPr>
      <w:t>2</w:t>
    </w:r>
    <w:r>
      <w:rPr>
        <w:rFonts w:hint="eastAsia"/>
        <w:sz w:val="15"/>
        <w:szCs w:val="15"/>
      </w:rPr>
      <w:t xml:space="preserve">4-00-00    </w:t>
    </w:r>
    <w:proofErr w:type="gramStart"/>
    <w:r>
      <w:rPr>
        <w:rFonts w:ascii="黑体" w:eastAsia="黑体" w:hAnsi="黑体" w:hint="eastAsia"/>
        <w:sz w:val="15"/>
        <w:szCs w:val="15"/>
      </w:rPr>
      <w:t>修回日期</w:t>
    </w:r>
    <w:proofErr w:type="gramEnd"/>
    <w:r>
      <w:rPr>
        <w:rFonts w:hint="eastAsia"/>
        <w:sz w:val="15"/>
        <w:szCs w:val="15"/>
      </w:rPr>
      <w:t>：</w:t>
    </w:r>
    <w:r>
      <w:rPr>
        <w:rFonts w:hint="eastAsia"/>
        <w:sz w:val="15"/>
        <w:szCs w:val="15"/>
      </w:rPr>
      <w:t>20</w:t>
    </w:r>
    <w:r>
      <w:rPr>
        <w:sz w:val="15"/>
        <w:szCs w:val="15"/>
      </w:rPr>
      <w:t>2</w:t>
    </w:r>
    <w:r>
      <w:rPr>
        <w:rFonts w:hint="eastAsia"/>
        <w:sz w:val="15"/>
        <w:szCs w:val="15"/>
      </w:rPr>
      <w:t>4-00-00</w:t>
    </w:r>
  </w:p>
  <w:p w14:paraId="40857D61" w14:textId="77777777" w:rsidR="00646FF5" w:rsidRDefault="00000000">
    <w:pPr>
      <w:pStyle w:val="FootnoteText"/>
      <w:spacing w:line="288" w:lineRule="auto"/>
      <w:ind w:firstLineChars="200" w:firstLine="300"/>
      <w:rPr>
        <w:sz w:val="15"/>
        <w:szCs w:val="15"/>
      </w:rPr>
    </w:pPr>
    <w:r>
      <w:rPr>
        <w:rFonts w:ascii="黑体" w:eastAsia="黑体" w:hAnsi="黑体" w:hint="eastAsia"/>
        <w:sz w:val="15"/>
        <w:szCs w:val="15"/>
      </w:rPr>
      <w:t>基金项目</w:t>
    </w:r>
    <w:r>
      <w:rPr>
        <w:rFonts w:hint="eastAsia"/>
        <w:sz w:val="15"/>
        <w:szCs w:val="15"/>
      </w:rPr>
      <w:t>：</w:t>
    </w: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</w:rPr>
      <w:t>国家自然科学基金项目（</w:t>
    </w:r>
    <w:r>
      <w:rPr>
        <w:sz w:val="15"/>
        <w:szCs w:val="15"/>
      </w:rPr>
      <w:t>××××××××</w:t>
    </w:r>
    <w:r>
      <w:rPr>
        <w:rFonts w:hint="eastAsia"/>
        <w:sz w:val="15"/>
        <w:szCs w:val="15"/>
      </w:rPr>
      <w:t>、</w:t>
    </w:r>
    <w:r>
      <w:rPr>
        <w:sz w:val="15"/>
        <w:szCs w:val="15"/>
      </w:rPr>
      <w:t>××××××××</w:t>
    </w:r>
    <w:r>
      <w:rPr>
        <w:rFonts w:hint="eastAsia"/>
        <w:sz w:val="15"/>
        <w:szCs w:val="15"/>
      </w:rPr>
      <w:t>），中国博士后科学基金项目（</w:t>
    </w:r>
    <w:r>
      <w:rPr>
        <w:rFonts w:hint="eastAsia"/>
        <w:sz w:val="15"/>
        <w:szCs w:val="15"/>
      </w:rPr>
      <w:t>2021M</w:t>
    </w:r>
    <w:r>
      <w:rPr>
        <w:sz w:val="15"/>
        <w:szCs w:val="15"/>
      </w:rPr>
      <w:t>×××××</w:t>
    </w:r>
    <w:r>
      <w:rPr>
        <w:rFonts w:hint="eastAsia"/>
        <w:sz w:val="15"/>
        <w:szCs w:val="15"/>
      </w:rPr>
      <w:t>）。</w:t>
    </w:r>
  </w:p>
  <w:p w14:paraId="5C27C136" w14:textId="77777777" w:rsidR="00646FF5" w:rsidRDefault="00000000">
    <w:pPr>
      <w:pStyle w:val="FootnoteText"/>
      <w:spacing w:line="288" w:lineRule="auto"/>
      <w:ind w:firstLineChars="200" w:firstLine="300"/>
      <w:rPr>
        <w:sz w:val="15"/>
        <w:szCs w:val="15"/>
      </w:rPr>
    </w:pPr>
    <w:r>
      <w:rPr>
        <w:rFonts w:ascii="黑体" w:eastAsia="黑体" w:hAnsi="黑体" w:hint="eastAsia"/>
        <w:sz w:val="15"/>
        <w:szCs w:val="15"/>
      </w:rPr>
      <w:t>第一作者</w:t>
    </w:r>
    <w:r>
      <w:rPr>
        <w:rFonts w:hint="eastAsia"/>
        <w:sz w:val="15"/>
        <w:szCs w:val="15"/>
      </w:rPr>
      <w:t>：张三，博士生。主要研究方向：森林防火。</w:t>
    </w:r>
    <w:r>
      <w:rPr>
        <w:rFonts w:hint="eastAsia"/>
        <w:sz w:val="15"/>
        <w:szCs w:val="15"/>
      </w:rPr>
      <w:t> Email</w:t>
    </w:r>
    <w:r>
      <w:rPr>
        <w:rFonts w:hint="eastAsia"/>
        <w:sz w:val="15"/>
        <w:szCs w:val="15"/>
      </w:rPr>
      <w:t>：</w:t>
    </w:r>
    <w:r>
      <w:rPr>
        <w:rFonts w:hint="eastAsia"/>
        <w:sz w:val="15"/>
        <w:szCs w:val="15"/>
      </w:rPr>
      <w:t>zhangsan@163.com</w:t>
    </w:r>
    <w:r>
      <w:rPr>
        <w:rFonts w:hint="eastAsia"/>
        <w:sz w:val="15"/>
        <w:szCs w:val="15"/>
      </w:rPr>
      <w:t xml:space="preserve">　地址：</w:t>
    </w:r>
    <w:r>
      <w:rPr>
        <w:rFonts w:hint="eastAsia"/>
        <w:sz w:val="15"/>
        <w:szCs w:val="15"/>
      </w:rPr>
      <w:t>100083 </w:t>
    </w:r>
    <w:r>
      <w:rPr>
        <w:rFonts w:hint="eastAsia"/>
        <w:sz w:val="15"/>
        <w:szCs w:val="15"/>
      </w:rPr>
      <w:t>北京市海淀区清华东路</w:t>
    </w:r>
    <w:r>
      <w:rPr>
        <w:rFonts w:hint="eastAsia"/>
        <w:sz w:val="15"/>
        <w:szCs w:val="15"/>
      </w:rPr>
      <w:t xml:space="preserve"> 35 </w:t>
    </w:r>
    <w:r>
      <w:rPr>
        <w:rFonts w:hint="eastAsia"/>
        <w:sz w:val="15"/>
        <w:szCs w:val="15"/>
      </w:rPr>
      <w:t>号北京林业大学林学院。</w:t>
    </w:r>
  </w:p>
  <w:p w14:paraId="7C2C1FB0" w14:textId="77777777" w:rsidR="00646FF5" w:rsidRDefault="00000000">
    <w:pPr>
      <w:pStyle w:val="FootnoteText"/>
      <w:spacing w:line="288" w:lineRule="auto"/>
      <w:ind w:firstLineChars="200" w:firstLine="300"/>
      <w:rPr>
        <w:sz w:val="15"/>
        <w:szCs w:val="15"/>
      </w:rPr>
    </w:pPr>
    <w:r>
      <w:rPr>
        <w:rFonts w:ascii="黑体" w:eastAsia="黑体" w:hAnsi="黑体" w:hint="eastAsia"/>
        <w:sz w:val="15"/>
        <w:szCs w:val="15"/>
      </w:rPr>
      <w:t>责任作者</w:t>
    </w:r>
    <w:r>
      <w:rPr>
        <w:rFonts w:hint="eastAsia"/>
        <w:sz w:val="15"/>
        <w:szCs w:val="15"/>
      </w:rPr>
      <w:t>：李四，博士，教授。主要研究方向：森林防火。</w:t>
    </w:r>
    <w:r>
      <w:rPr>
        <w:rFonts w:hint="eastAsia"/>
        <w:sz w:val="15"/>
        <w:szCs w:val="15"/>
      </w:rPr>
      <w:t> Email</w:t>
    </w:r>
    <w:r>
      <w:rPr>
        <w:rFonts w:hint="eastAsia"/>
        <w:sz w:val="15"/>
        <w:szCs w:val="15"/>
      </w:rPr>
      <w:t>：</w:t>
    </w:r>
    <w:r>
      <w:rPr>
        <w:rFonts w:hint="eastAsia"/>
        <w:sz w:val="15"/>
        <w:szCs w:val="15"/>
      </w:rPr>
      <w:t>lisi@bjfu.edu.c</w:t>
    </w:r>
    <w:r>
      <w:rPr>
        <w:sz w:val="15"/>
        <w:szCs w:val="15"/>
      </w:rPr>
      <w:t>n</w:t>
    </w:r>
    <w:r>
      <w:rPr>
        <w:rFonts w:hint="eastAsia"/>
        <w:sz w:val="15"/>
        <w:szCs w:val="15"/>
      </w:rPr>
      <w:t xml:space="preserve">　地址：同上。</w:t>
    </w:r>
  </w:p>
  <w:p w14:paraId="43C8926E" w14:textId="77777777" w:rsidR="00646FF5" w:rsidRDefault="00646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E23F" w14:textId="77777777" w:rsidR="001C5AEF" w:rsidRDefault="001C5AEF">
      <w:r>
        <w:separator/>
      </w:r>
    </w:p>
  </w:footnote>
  <w:footnote w:type="continuationSeparator" w:id="0">
    <w:p w14:paraId="76AA5310" w14:textId="77777777" w:rsidR="001C5AEF" w:rsidRDefault="001C5AEF">
      <w:r>
        <w:continuationSeparator/>
      </w:r>
    </w:p>
  </w:footnote>
  <w:footnote w:id="1">
    <w:p w14:paraId="2FBEAE17" w14:textId="77777777" w:rsidR="00646FF5" w:rsidRDefault="00646FF5">
      <w:pPr>
        <w:pStyle w:val="FootnoteText"/>
        <w:spacing w:line="288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F44C45"/>
    <w:multiLevelType w:val="singleLevel"/>
    <w:tmpl w:val="F7F44C4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8147DC"/>
    <w:multiLevelType w:val="multilevel"/>
    <w:tmpl w:val="108147DC"/>
    <w:lvl w:ilvl="0">
      <w:start w:val="1"/>
      <w:numFmt w:val="decimal"/>
      <w:pStyle w:val="TableCHeading"/>
      <w:lvlText w:val="表 %1"/>
      <w:lvlJc w:val="left"/>
      <w:pPr>
        <w:tabs>
          <w:tab w:val="left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A4D02F4"/>
    <w:multiLevelType w:val="singleLevel"/>
    <w:tmpl w:val="1A4D02F4"/>
    <w:lvl w:ilvl="0">
      <w:start w:val="1"/>
      <w:numFmt w:val="decimal"/>
      <w:suff w:val="space"/>
      <w:lvlText w:val="（%1."/>
      <w:lvlJc w:val="left"/>
    </w:lvl>
  </w:abstractNum>
  <w:abstractNum w:abstractNumId="3" w15:restartNumberingAfterBreak="0">
    <w:nsid w:val="34D810FB"/>
    <w:multiLevelType w:val="singleLevel"/>
    <w:tmpl w:val="34D810F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41D0A8F"/>
    <w:multiLevelType w:val="singleLevel"/>
    <w:tmpl w:val="441D0A8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D9041AE"/>
    <w:multiLevelType w:val="multilevel"/>
    <w:tmpl w:val="4D9041AE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63C77CE"/>
    <w:multiLevelType w:val="multilevel"/>
    <w:tmpl w:val="563C77C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66A79EB"/>
    <w:multiLevelType w:val="singleLevel"/>
    <w:tmpl w:val="666A79EB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8" w15:restartNumberingAfterBreak="0">
    <w:nsid w:val="66ED6753"/>
    <w:multiLevelType w:val="singleLevel"/>
    <w:tmpl w:val="66ED67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70FE36F"/>
    <w:multiLevelType w:val="singleLevel"/>
    <w:tmpl w:val="670FE36F"/>
    <w:lvl w:ilvl="0">
      <w:start w:val="1"/>
      <w:numFmt w:val="decimal"/>
      <w:suff w:val="space"/>
      <w:lvlText w:val="%1."/>
      <w:lvlJc w:val="left"/>
    </w:lvl>
  </w:abstractNum>
  <w:num w:numId="1" w16cid:durableId="1865286795">
    <w:abstractNumId w:val="1"/>
  </w:num>
  <w:num w:numId="2" w16cid:durableId="1091242102">
    <w:abstractNumId w:val="9"/>
  </w:num>
  <w:num w:numId="3" w16cid:durableId="1653215097">
    <w:abstractNumId w:val="2"/>
  </w:num>
  <w:num w:numId="4" w16cid:durableId="342979553">
    <w:abstractNumId w:val="8"/>
  </w:num>
  <w:num w:numId="5" w16cid:durableId="753746361">
    <w:abstractNumId w:val="3"/>
  </w:num>
  <w:num w:numId="6" w16cid:durableId="37975520">
    <w:abstractNumId w:val="4"/>
  </w:num>
  <w:num w:numId="7" w16cid:durableId="1108935834">
    <w:abstractNumId w:val="0"/>
  </w:num>
  <w:num w:numId="8" w16cid:durableId="1623728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5078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456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E5YjMxMTQyMjY4MWU3YjhmYTY0OGFhMjQzMTVlMDkifQ=="/>
  </w:docVars>
  <w:rsids>
    <w:rsidRoot w:val="7F5E7593"/>
    <w:rsid w:val="001C5AEF"/>
    <w:rsid w:val="00646FF5"/>
    <w:rsid w:val="00AF0D6D"/>
    <w:rsid w:val="00B31067"/>
    <w:rsid w:val="0FE9310D"/>
    <w:rsid w:val="291A6D3D"/>
    <w:rsid w:val="335C4122"/>
    <w:rsid w:val="6D3801C3"/>
    <w:rsid w:val="70F30464"/>
    <w:rsid w:val="7F5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15293"/>
  <w15:docId w15:val="{3085B5B4-D914-42BB-93A1-CF11C882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endnote text" w:semiHidden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qFormat/>
    <w:pPr>
      <w:jc w:val="left"/>
    </w:pPr>
  </w:style>
  <w:style w:type="paragraph" w:styleId="BodyText">
    <w:name w:val="Body Text"/>
    <w:basedOn w:val="Normal"/>
    <w:qFormat/>
    <w:pPr>
      <w:spacing w:after="120"/>
    </w:pPr>
  </w:style>
  <w:style w:type="paragraph" w:styleId="EndnoteText">
    <w:name w:val="endnote text"/>
    <w:basedOn w:val="Normal"/>
    <w:semiHidden/>
    <w:qFormat/>
    <w:pPr>
      <w:snapToGrid w:val="0"/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semiHidden/>
    <w:qFormat/>
    <w:pPr>
      <w:snapToGrid w:val="0"/>
      <w:jc w:val="left"/>
    </w:pPr>
    <w:rPr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CHeading">
    <w:name w:val="TableCHeading"/>
    <w:basedOn w:val="Normal"/>
    <w:next w:val="Normal"/>
    <w:qFormat/>
    <w:pPr>
      <w:numPr>
        <w:numId w:val="1"/>
      </w:numPr>
      <w:spacing w:beforeLines="100" w:before="312"/>
      <w:jc w:val="center"/>
    </w:pPr>
    <w:rPr>
      <w:rFonts w:eastAsia="黑体"/>
      <w:b/>
      <w:bCs/>
      <w:sz w:val="18"/>
      <w:szCs w:val="20"/>
    </w:rPr>
  </w:style>
  <w:style w:type="paragraph" w:styleId="ListParagraph">
    <w:name w:val="List Paragraph"/>
    <w:basedOn w:val="Normal"/>
    <w:uiPriority w:val="99"/>
    <w:qFormat/>
    <w:pPr>
      <w:widowControl/>
      <w:autoSpaceDE w:val="0"/>
      <w:ind w:firstLine="420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mengyao</dc:creator>
  <cp:lastModifiedBy>Bingjie Liu</cp:lastModifiedBy>
  <cp:revision>2</cp:revision>
  <dcterms:created xsi:type="dcterms:W3CDTF">2024-05-27T06:04:00Z</dcterms:created>
  <dcterms:modified xsi:type="dcterms:W3CDTF">2025-03-26T02:22:00Z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21A68D2F415C484B8C1DDE8A634B25DC_11</vt:lpwstr>
  </property>
</Properties>
</file>